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CE" w:rsidRDefault="00BF5E70" w:rsidP="002C38CE">
      <w:pPr>
        <w:spacing w:after="0"/>
      </w:pPr>
      <w:r>
        <w:rPr>
          <w:rFonts w:cs="Times New Roman"/>
        </w:rPr>
        <w:t>¶</w:t>
      </w:r>
      <w:r>
        <w:t xml:space="preserve"> 17-2-7. </w:t>
      </w:r>
      <w:r>
        <w:rPr>
          <w:b/>
        </w:rPr>
        <w:t>Adkins v. State</w:t>
      </w:r>
      <w:r>
        <w:t>, MEMORNADUM, No. 03-14-00285-CR (</w:t>
      </w:r>
      <w:proofErr w:type="spellStart"/>
      <w:r>
        <w:t>Tex.App</w:t>
      </w:r>
      <w:proofErr w:type="spellEnd"/>
      <w:r>
        <w:t>.—Austin, 2/2/2017).</w:t>
      </w:r>
    </w:p>
    <w:p w:rsidR="00BF5E70" w:rsidRDefault="00BF5E70" w:rsidP="002C38CE">
      <w:pPr>
        <w:spacing w:after="0"/>
      </w:pPr>
    </w:p>
    <w:p w:rsidR="00BF5E70" w:rsidRPr="0085284B" w:rsidRDefault="0085284B" w:rsidP="002C38CE">
      <w:pPr>
        <w:spacing w:after="0"/>
      </w:pPr>
      <w:r>
        <w:rPr>
          <w:b/>
        </w:rPr>
        <w:t>Facts:</w:t>
      </w:r>
      <w:r>
        <w:t xml:space="preserve">  </w:t>
      </w:r>
      <w:bookmarkStart w:id="0" w:name="_GoBack"/>
      <w:bookmarkEnd w:id="0"/>
    </w:p>
    <w:p w:rsidR="00BF5E70" w:rsidRPr="002C38CE" w:rsidRDefault="00BF5E70" w:rsidP="002C38CE">
      <w:pPr>
        <w:spacing w:after="0"/>
      </w:pPr>
    </w:p>
    <w:p w:rsidR="002C38CE" w:rsidRPr="002C38CE" w:rsidRDefault="002C38CE" w:rsidP="002C38CE">
      <w:pPr>
        <w:spacing w:after="0"/>
      </w:pPr>
      <w:r w:rsidRPr="002C38CE">
        <w:t>2017 WL 474058</w:t>
      </w:r>
    </w:p>
    <w:p w:rsidR="002C38CE" w:rsidRPr="002C38CE" w:rsidRDefault="002C38CE" w:rsidP="002C38CE">
      <w:pPr>
        <w:spacing w:after="0"/>
      </w:pPr>
      <w:r w:rsidRPr="002C38CE">
        <w:t>Only the Westlaw citation is currently available.</w:t>
      </w:r>
    </w:p>
    <w:p w:rsidR="002C38CE" w:rsidRPr="002C38CE" w:rsidRDefault="002C38CE" w:rsidP="002C38CE">
      <w:pPr>
        <w:spacing w:after="0"/>
      </w:pPr>
      <w:r w:rsidRPr="002C38CE">
        <w:t>SEE TX R RAP RULE 47.2 FOR DESIGNATION AND SIGNING OF OPINIONS.</w:t>
      </w:r>
    </w:p>
    <w:p w:rsidR="002C38CE" w:rsidRPr="002C38CE" w:rsidRDefault="002C38CE" w:rsidP="002C38CE">
      <w:pPr>
        <w:spacing w:after="0"/>
      </w:pPr>
      <w:r w:rsidRPr="002C38CE">
        <w:t>Do Not Publish</w:t>
      </w:r>
    </w:p>
    <w:p w:rsidR="002C38CE" w:rsidRPr="002C38CE" w:rsidRDefault="002C38CE" w:rsidP="002C38CE">
      <w:pPr>
        <w:spacing w:after="0"/>
      </w:pPr>
      <w:r w:rsidRPr="002C38CE">
        <w:t>Court of Appeals of Texas,</w:t>
      </w:r>
    </w:p>
    <w:p w:rsidR="002C38CE" w:rsidRPr="002C38CE" w:rsidRDefault="002C38CE" w:rsidP="002C38CE">
      <w:pPr>
        <w:spacing w:after="0"/>
      </w:pPr>
      <w:r w:rsidRPr="002C38CE">
        <w:t>Austin.</w:t>
      </w:r>
    </w:p>
    <w:p w:rsidR="002C38CE" w:rsidRPr="002C38CE" w:rsidRDefault="0085284B" w:rsidP="002C38CE">
      <w:pPr>
        <w:spacing w:after="0"/>
      </w:pPr>
      <w:hyperlink r:id="rId5" w:history="1">
        <w:r w:rsidR="002C38CE" w:rsidRPr="002C38CE">
          <w:rPr>
            <w:rStyle w:val="Hyperlink"/>
          </w:rPr>
          <w:t>Samuel Adkins</w:t>
        </w:r>
      </w:hyperlink>
      <w:r w:rsidR="002C38CE" w:rsidRPr="002C38CE">
        <w:t>, Appellant</w:t>
      </w:r>
    </w:p>
    <w:p w:rsidR="002C38CE" w:rsidRPr="002C38CE" w:rsidRDefault="002C38CE" w:rsidP="002C38CE">
      <w:pPr>
        <w:spacing w:after="0"/>
      </w:pPr>
      <w:proofErr w:type="gramStart"/>
      <w:r w:rsidRPr="002C38CE">
        <w:t>v</w:t>
      </w:r>
      <w:proofErr w:type="gramEnd"/>
      <w:r w:rsidRPr="002C38CE">
        <w:t>.</w:t>
      </w:r>
    </w:p>
    <w:p w:rsidR="002C38CE" w:rsidRPr="002C38CE" w:rsidRDefault="002C38CE" w:rsidP="002C38CE">
      <w:pPr>
        <w:spacing w:after="0"/>
      </w:pPr>
      <w:r w:rsidRPr="002C38CE">
        <w:t>The State of Texas, Appellee</w:t>
      </w:r>
    </w:p>
    <w:p w:rsidR="002C38CE" w:rsidRPr="002C38CE" w:rsidRDefault="002C38CE" w:rsidP="002C38CE">
      <w:pPr>
        <w:spacing w:after="0"/>
      </w:pPr>
      <w:r w:rsidRPr="002C38CE">
        <w:t>NO. 03-14-00285-CR</w:t>
      </w:r>
    </w:p>
    <w:p w:rsidR="002C38CE" w:rsidRPr="002C38CE" w:rsidRDefault="002C38CE" w:rsidP="002C38CE">
      <w:pPr>
        <w:spacing w:after="0"/>
      </w:pPr>
      <w:r w:rsidRPr="002C38CE">
        <w:t>|</w:t>
      </w:r>
    </w:p>
    <w:p w:rsidR="002C38CE" w:rsidRPr="002C38CE" w:rsidRDefault="002C38CE" w:rsidP="002C38CE">
      <w:pPr>
        <w:spacing w:after="0"/>
      </w:pPr>
      <w:r w:rsidRPr="002C38CE">
        <w:t>Filed: February 2, 2017</w:t>
      </w:r>
    </w:p>
    <w:p w:rsidR="002C38CE" w:rsidRPr="002C38CE" w:rsidRDefault="002C38CE" w:rsidP="002C38CE">
      <w:pPr>
        <w:spacing w:after="0"/>
        <w:rPr>
          <w:b/>
          <w:bCs/>
        </w:rPr>
      </w:pPr>
      <w:proofErr w:type="gramStart"/>
      <w:r w:rsidRPr="002C38CE">
        <w:rPr>
          <w:b/>
          <w:bCs/>
        </w:rPr>
        <w:t>FROM THE DISTRICT COURT OF TRAVIS COUNTY, 427TH JUDICIAL DISTRICT NO.</w:t>
      </w:r>
      <w:proofErr w:type="gramEnd"/>
      <w:r w:rsidRPr="002C38CE">
        <w:rPr>
          <w:b/>
          <w:bCs/>
        </w:rPr>
        <w:t xml:space="preserve"> D-1-DC-13-904105, HONORABLE JON N. WISSER, JUDGE PRESIDING</w:t>
      </w:r>
    </w:p>
    <w:p w:rsidR="002C38CE" w:rsidRPr="002C38CE" w:rsidRDefault="002C38CE" w:rsidP="002C38CE">
      <w:pPr>
        <w:spacing w:after="0"/>
      </w:pPr>
      <w:r w:rsidRPr="002C38CE">
        <w:t xml:space="preserve">Before Justices </w:t>
      </w:r>
      <w:hyperlink r:id="rId6" w:history="1">
        <w:proofErr w:type="spellStart"/>
        <w:r w:rsidRPr="002C38CE">
          <w:rPr>
            <w:rStyle w:val="Hyperlink"/>
          </w:rPr>
          <w:t>Puryear</w:t>
        </w:r>
        <w:proofErr w:type="spellEnd"/>
      </w:hyperlink>
      <w:r w:rsidRPr="002C38CE">
        <w:t xml:space="preserve">, </w:t>
      </w:r>
      <w:hyperlink r:id="rId7" w:history="1">
        <w:r w:rsidRPr="002C38CE">
          <w:rPr>
            <w:rStyle w:val="Hyperlink"/>
          </w:rPr>
          <w:t>Pemberton</w:t>
        </w:r>
      </w:hyperlink>
      <w:r w:rsidRPr="002C38CE">
        <w:t xml:space="preserve">, and </w:t>
      </w:r>
      <w:hyperlink r:id="rId8" w:history="1">
        <w:proofErr w:type="spellStart"/>
        <w:r w:rsidRPr="002C38CE">
          <w:rPr>
            <w:rStyle w:val="Hyperlink"/>
          </w:rPr>
          <w:t>Bourland</w:t>
        </w:r>
        <w:proofErr w:type="spellEnd"/>
      </w:hyperlink>
    </w:p>
    <w:p w:rsidR="002C38CE" w:rsidRPr="002C38CE" w:rsidRDefault="002C38CE" w:rsidP="002C38CE">
      <w:pPr>
        <w:spacing w:after="0"/>
        <w:rPr>
          <w:b/>
          <w:bCs/>
        </w:rPr>
      </w:pPr>
      <w:bookmarkStart w:id="1" w:name="co_opinion_1"/>
      <w:bookmarkEnd w:id="1"/>
    </w:p>
    <w:p w:rsidR="002C38CE" w:rsidRPr="002C38CE" w:rsidRDefault="002C38CE" w:rsidP="002C38CE">
      <w:pPr>
        <w:spacing w:after="0"/>
      </w:pPr>
      <w:bookmarkStart w:id="2" w:name="co_anchor_I8b22ec49ed1011e698dc8b09b4f04"/>
      <w:bookmarkEnd w:id="2"/>
    </w:p>
    <w:p w:rsidR="002C38CE" w:rsidRPr="002C38CE" w:rsidRDefault="002C38CE" w:rsidP="002C38CE">
      <w:pPr>
        <w:spacing w:after="0"/>
        <w:rPr>
          <w:b/>
          <w:bCs/>
          <w:u w:val="single"/>
        </w:rPr>
      </w:pPr>
      <w:r w:rsidRPr="002C38CE">
        <w:rPr>
          <w:b/>
          <w:bCs/>
          <w:u w:val="single"/>
        </w:rPr>
        <w:t>MEMORANDUM OPINION</w:t>
      </w:r>
    </w:p>
    <w:p w:rsidR="002C38CE" w:rsidRPr="002C38CE" w:rsidRDefault="0085284B" w:rsidP="002C38CE">
      <w:pPr>
        <w:spacing w:after="0"/>
      </w:pPr>
      <w:hyperlink r:id="rId9" w:history="1">
        <w:r w:rsidR="002C38CE" w:rsidRPr="002C38CE">
          <w:rPr>
            <w:rStyle w:val="Hyperlink"/>
          </w:rPr>
          <w:t>Bob Pemberton</w:t>
        </w:r>
      </w:hyperlink>
      <w:r w:rsidR="002C38CE" w:rsidRPr="002C38CE">
        <w:t>, Justice</w:t>
      </w:r>
    </w:p>
    <w:p w:rsidR="002C38CE" w:rsidRPr="002C38CE" w:rsidRDefault="002C38CE" w:rsidP="002C38CE">
      <w:pPr>
        <w:spacing w:after="0"/>
      </w:pPr>
      <w:bookmarkStart w:id="3" w:name="co_pp_sp_999_1_1"/>
      <w:bookmarkEnd w:id="3"/>
      <w:r w:rsidRPr="002C38CE">
        <w:rPr>
          <w:b/>
          <w:bCs/>
        </w:rPr>
        <w:t>*1</w:t>
      </w:r>
      <w:r w:rsidRPr="002C38CE">
        <w:t xml:space="preserve"> </w:t>
      </w:r>
      <w:proofErr w:type="gramStart"/>
      <w:r w:rsidRPr="002C38CE">
        <w:t>A</w:t>
      </w:r>
      <w:proofErr w:type="gramEnd"/>
      <w:r w:rsidRPr="002C38CE">
        <w:t xml:space="preserve"> jury convicted appellant Samuel Adkins of the offense of aggravated sexual assault and assessed punishment at 65 years’ imprisonment.</w:t>
      </w:r>
      <w:bookmarkStart w:id="4" w:name="co_footnoteReference_B00012040882508_ID0"/>
      <w:bookmarkEnd w:id="4"/>
      <w:r w:rsidRPr="002C38CE">
        <w:fldChar w:fldCharType="begin"/>
      </w:r>
      <w:r w:rsidRPr="002C38CE">
        <w:instrText xml:space="preserve">HYPERLINK "#co_footnote_B00012040882508_1" </w:instrText>
      </w:r>
      <w:r w:rsidRPr="002C38CE">
        <w:fldChar w:fldCharType="separate"/>
      </w:r>
      <w:r w:rsidRPr="002C38CE">
        <w:rPr>
          <w:rStyle w:val="Hyperlink"/>
          <w:vertAlign w:val="superscript"/>
        </w:rPr>
        <w:t>1</w:t>
      </w:r>
      <w:r w:rsidRPr="002C38CE">
        <w:fldChar w:fldCharType="end"/>
      </w:r>
      <w:r w:rsidRPr="002C38CE">
        <w:t xml:space="preserve"> The district court rendered judgment on the verdict. In three points of error on appeal, Adkins asserts that the district court abused its discretion in admitting into evidence: (1) an audio recording containing what Adkins contends are inadmissible hearsay statements made by one of the investigating officers; (2) testimony tending to show that Adkins had previously been in jail; and (3) testimony offered during the punishment phase of trial relating to an extraneous offense for which the State failed to provide the statutorily required notice.</w:t>
      </w:r>
      <w:bookmarkStart w:id="5" w:name="co_footnoteReference_B00022040882508_ID0"/>
      <w:bookmarkEnd w:id="5"/>
      <w:r w:rsidRPr="002C38CE">
        <w:fldChar w:fldCharType="begin"/>
      </w:r>
      <w:r w:rsidRPr="002C38CE">
        <w:instrText xml:space="preserve">HYPERLINK "#co_footnote_B00022040882508_1" </w:instrText>
      </w:r>
      <w:r w:rsidRPr="002C38CE">
        <w:fldChar w:fldCharType="separate"/>
      </w:r>
      <w:r w:rsidRPr="002C38CE">
        <w:rPr>
          <w:rStyle w:val="Hyperlink"/>
          <w:vertAlign w:val="superscript"/>
        </w:rPr>
        <w:t>2</w:t>
      </w:r>
      <w:r w:rsidRPr="002C38CE">
        <w:fldChar w:fldCharType="end"/>
      </w:r>
      <w:r w:rsidRPr="002C38CE">
        <w:t xml:space="preserve"> We will affirm the judgment of conviction.</w:t>
      </w:r>
    </w:p>
    <w:p w:rsidR="002C38CE" w:rsidRPr="002C38CE" w:rsidRDefault="002C38CE" w:rsidP="002C38CE">
      <w:pPr>
        <w:spacing w:after="0"/>
      </w:pPr>
      <w:r w:rsidRPr="002C38CE">
        <w:t> </w:t>
      </w:r>
    </w:p>
    <w:p w:rsidR="002C38CE" w:rsidRPr="002C38CE" w:rsidRDefault="002C38CE" w:rsidP="002C38CE">
      <w:pPr>
        <w:spacing w:after="0"/>
      </w:pPr>
      <w:bookmarkStart w:id="6" w:name="co_anchor_I8b22ec4aed1011e698dc8b09b4f04"/>
      <w:bookmarkEnd w:id="6"/>
    </w:p>
    <w:p w:rsidR="002C38CE" w:rsidRPr="002C38CE" w:rsidRDefault="002C38CE" w:rsidP="002C38CE">
      <w:pPr>
        <w:spacing w:after="0"/>
        <w:rPr>
          <w:b/>
          <w:bCs/>
        </w:rPr>
      </w:pPr>
      <w:r w:rsidRPr="002C38CE">
        <w:rPr>
          <w:b/>
          <w:bCs/>
        </w:rPr>
        <w:t>BACKGROUND</w:t>
      </w:r>
    </w:p>
    <w:p w:rsidR="002C38CE" w:rsidRPr="002C38CE" w:rsidRDefault="002C38CE" w:rsidP="002C38CE">
      <w:pPr>
        <w:spacing w:after="0"/>
      </w:pPr>
      <w:r w:rsidRPr="002C38CE">
        <w:t>The jury heard evidence tending to show that in the early morning hours of July 30, 2012, Adkins drove “Rachel Smith,”</w:t>
      </w:r>
      <w:bookmarkStart w:id="7" w:name="co_footnoteReference_B00032040882508_ID0"/>
      <w:bookmarkEnd w:id="7"/>
      <w:r w:rsidRPr="002C38CE">
        <w:fldChar w:fldCharType="begin"/>
      </w:r>
      <w:r w:rsidRPr="002C38CE">
        <w:instrText xml:space="preserve">HYPERLINK "#co_footnote_B00032040882508_1" </w:instrText>
      </w:r>
      <w:r w:rsidRPr="002C38CE">
        <w:fldChar w:fldCharType="separate"/>
      </w:r>
      <w:r w:rsidRPr="002C38CE">
        <w:rPr>
          <w:rStyle w:val="Hyperlink"/>
          <w:vertAlign w:val="superscript"/>
        </w:rPr>
        <w:t>3</w:t>
      </w:r>
      <w:r w:rsidRPr="002C38CE">
        <w:fldChar w:fldCharType="end"/>
      </w:r>
      <w:r w:rsidRPr="002C38CE">
        <w:t xml:space="preserve"> a woman with whom Adkins had spent time the previous day and night, to an undeveloped and isolated area in Southwest Austin, along </w:t>
      </w:r>
      <w:proofErr w:type="spellStart"/>
      <w:r w:rsidRPr="002C38CE">
        <w:t>MoPac</w:t>
      </w:r>
      <w:proofErr w:type="spellEnd"/>
      <w:r w:rsidRPr="002C38CE">
        <w:t xml:space="preserve"> Boulevard south of Slaughter Lane, and proceeded to physically and sexually assault her. Evidence considered by the jury during trial included the testimony of Smith, who described in detail the circumstances </w:t>
      </w:r>
      <w:r w:rsidRPr="002C38CE">
        <w:lastRenderedPageBreak/>
        <w:t xml:space="preserve">surrounding the assault; </w:t>
      </w:r>
      <w:proofErr w:type="spellStart"/>
      <w:r w:rsidRPr="002C38CE">
        <w:t>Kaylynn</w:t>
      </w:r>
      <w:proofErr w:type="spellEnd"/>
      <w:r w:rsidRPr="002C38CE">
        <w:t xml:space="preserve"> </w:t>
      </w:r>
      <w:proofErr w:type="spellStart"/>
      <w:r w:rsidRPr="002C38CE">
        <w:t>Simkins</w:t>
      </w:r>
      <w:proofErr w:type="spellEnd"/>
      <w:r w:rsidRPr="002C38CE">
        <w:t xml:space="preserve">, a friend of Smith’s who had also spent time with Adkins and Smith during the day and night preceding the assault; Joseph Kemp, a motorist who had found Smith “standing in the middle of the road” on </w:t>
      </w:r>
      <w:proofErr w:type="spellStart"/>
      <w:r w:rsidRPr="002C38CE">
        <w:t>MoPac</w:t>
      </w:r>
      <w:proofErr w:type="spellEnd"/>
      <w:r w:rsidRPr="002C38CE">
        <w:t>, asking for help, and who had called the police upon learning that Smith had been assaulted; Corporal David Boyd of the Austin Police Department, who had responded to the call and interviewed Smith at the location where she had been found; and Jenny Black, a sexual assault nurse examiner who had examined Smith following the assault.</w:t>
      </w:r>
      <w:bookmarkStart w:id="8" w:name="co_footnoteReference_B00042040882508_ID0"/>
      <w:bookmarkEnd w:id="8"/>
      <w:r w:rsidRPr="002C38CE">
        <w:fldChar w:fldCharType="begin"/>
      </w:r>
      <w:r w:rsidRPr="002C38CE">
        <w:instrText xml:space="preserve">HYPERLINK "#co_footnote_B00042040882508_1" </w:instrText>
      </w:r>
      <w:r w:rsidRPr="002C38CE">
        <w:fldChar w:fldCharType="separate"/>
      </w:r>
      <w:r w:rsidRPr="002C38CE">
        <w:rPr>
          <w:rStyle w:val="Hyperlink"/>
          <w:vertAlign w:val="superscript"/>
        </w:rPr>
        <w:t>4</w:t>
      </w:r>
      <w:r w:rsidRPr="002C38CE">
        <w:fldChar w:fldCharType="end"/>
      </w:r>
      <w:r w:rsidRPr="002C38CE">
        <w:t xml:space="preserve"> Based on this and other evidence, which we discuss in more detail below, the jury found Adkins guilty of aggravated sexual assault. After considering additional evidence during the punishment phase of trial, including evidence tending to show that Adkins had on a prior occasion attempted to sexually assault another woman, the jury assessed punishment at 65 years’ imprisonment as noted above, and the district court rendered judgment on the verdict. This appeal followed.</w:t>
      </w:r>
    </w:p>
    <w:p w:rsidR="002C38CE" w:rsidRPr="002C38CE" w:rsidRDefault="002C38CE" w:rsidP="002C38CE">
      <w:pPr>
        <w:spacing w:after="0"/>
      </w:pPr>
      <w:r w:rsidRPr="002C38CE">
        <w:t> </w:t>
      </w:r>
    </w:p>
    <w:p w:rsidR="002C38CE" w:rsidRPr="002C38CE" w:rsidRDefault="002C38CE" w:rsidP="002C38CE">
      <w:pPr>
        <w:spacing w:after="0"/>
      </w:pPr>
      <w:bookmarkStart w:id="9" w:name="co_anchor_I8b22ec4bed1011e698dc8b09b4f04"/>
      <w:bookmarkEnd w:id="9"/>
    </w:p>
    <w:p w:rsidR="002C38CE" w:rsidRPr="002C38CE" w:rsidRDefault="002C38CE" w:rsidP="002C38CE">
      <w:pPr>
        <w:spacing w:after="0"/>
        <w:rPr>
          <w:b/>
          <w:bCs/>
        </w:rPr>
      </w:pPr>
      <w:r w:rsidRPr="002C38CE">
        <w:rPr>
          <w:b/>
          <w:bCs/>
        </w:rPr>
        <w:t>STANDARD OF REVIEW</w:t>
      </w:r>
    </w:p>
    <w:p w:rsidR="002C38CE" w:rsidRPr="002C38CE" w:rsidRDefault="002C38CE" w:rsidP="002C38CE">
      <w:pPr>
        <w:spacing w:after="0"/>
      </w:pPr>
      <w:r w:rsidRPr="002C38CE">
        <w:t>We review a district court’s evidentiary rulings for abuse of discretion.</w:t>
      </w:r>
      <w:bookmarkStart w:id="10" w:name="co_footnoteReference_B00052040882508_ID0"/>
      <w:bookmarkEnd w:id="10"/>
      <w:r w:rsidRPr="002C38CE">
        <w:fldChar w:fldCharType="begin"/>
      </w:r>
      <w:r w:rsidRPr="002C38CE">
        <w:instrText xml:space="preserve">HYPERLINK "#co_footnote_B00052040882508_1" </w:instrText>
      </w:r>
      <w:r w:rsidRPr="002C38CE">
        <w:fldChar w:fldCharType="separate"/>
      </w:r>
      <w:r w:rsidRPr="002C38CE">
        <w:rPr>
          <w:rStyle w:val="Hyperlink"/>
          <w:vertAlign w:val="superscript"/>
        </w:rPr>
        <w:t>5</w:t>
      </w:r>
      <w:r w:rsidRPr="002C38CE">
        <w:fldChar w:fldCharType="end"/>
      </w:r>
      <w:r w:rsidRPr="002C38CE">
        <w:t xml:space="preserve"> We are to view the record “in the light most favorable to the trial court’s determination, and the judgment will be reversed only if it is arbitrary, unreasonable, or ‘outside the zone of reasonable disagreement.’ ”</w:t>
      </w:r>
      <w:bookmarkStart w:id="11" w:name="co_footnoteReference_B00062040882508_ID0"/>
      <w:bookmarkEnd w:id="11"/>
      <w:r w:rsidRPr="002C38CE">
        <w:fldChar w:fldCharType="begin"/>
      </w:r>
      <w:r w:rsidRPr="002C38CE">
        <w:instrText xml:space="preserve">HYPERLINK "#co_footnote_B00062040882508_1" </w:instrText>
      </w:r>
      <w:r w:rsidRPr="002C38CE">
        <w:fldChar w:fldCharType="separate"/>
      </w:r>
      <w:r w:rsidRPr="002C38CE">
        <w:rPr>
          <w:rStyle w:val="Hyperlink"/>
          <w:vertAlign w:val="superscript"/>
        </w:rPr>
        <w:t>6</w:t>
      </w:r>
      <w:r w:rsidRPr="002C38CE">
        <w:fldChar w:fldCharType="end"/>
      </w:r>
      <w:r w:rsidRPr="002C38CE">
        <w:t xml:space="preserve"> We consider the ruling in light of what was before the district court at the time the ruling was made.</w:t>
      </w:r>
      <w:bookmarkStart w:id="12" w:name="co_footnoteReference_B00072040882508_ID0"/>
      <w:bookmarkEnd w:id="12"/>
      <w:r w:rsidRPr="002C38CE">
        <w:fldChar w:fldCharType="begin"/>
      </w:r>
      <w:r w:rsidRPr="002C38CE">
        <w:instrText xml:space="preserve">HYPERLINK "#co_footnote_B00072040882508_1" </w:instrText>
      </w:r>
      <w:r w:rsidRPr="002C38CE">
        <w:fldChar w:fldCharType="separate"/>
      </w:r>
      <w:r w:rsidRPr="002C38CE">
        <w:rPr>
          <w:rStyle w:val="Hyperlink"/>
          <w:vertAlign w:val="superscript"/>
        </w:rPr>
        <w:t>7</w:t>
      </w:r>
      <w:r w:rsidRPr="002C38CE">
        <w:fldChar w:fldCharType="end"/>
      </w:r>
      <w:r w:rsidRPr="002C38CE">
        <w:t xml:space="preserve"> “We will sustain the lower court’s ruling if it is reasonably supported by the record and is correct on any theory of law applicable to the case.”</w:t>
      </w:r>
      <w:bookmarkStart w:id="13" w:name="co_footnoteReference_B00082040882508_ID0"/>
      <w:bookmarkEnd w:id="13"/>
      <w:r w:rsidRPr="002C38CE">
        <w:fldChar w:fldCharType="begin"/>
      </w:r>
      <w:r w:rsidRPr="002C38CE">
        <w:instrText xml:space="preserve">HYPERLINK "#co_footnote_B00082040882508_1" </w:instrText>
      </w:r>
      <w:r w:rsidRPr="002C38CE">
        <w:fldChar w:fldCharType="separate"/>
      </w:r>
      <w:r w:rsidRPr="002C38CE">
        <w:rPr>
          <w:rStyle w:val="Hyperlink"/>
          <w:vertAlign w:val="superscript"/>
        </w:rPr>
        <w:t>8</w:t>
      </w:r>
      <w:r w:rsidRPr="002C38CE">
        <w:fldChar w:fldCharType="end"/>
      </w:r>
    </w:p>
    <w:p w:rsidR="002C38CE" w:rsidRPr="002C38CE" w:rsidRDefault="002C38CE" w:rsidP="002C38CE">
      <w:pPr>
        <w:spacing w:after="0"/>
      </w:pPr>
      <w:r w:rsidRPr="002C38CE">
        <w:t> </w:t>
      </w:r>
    </w:p>
    <w:p w:rsidR="002C38CE" w:rsidRPr="002C38CE" w:rsidRDefault="002C38CE" w:rsidP="002C38CE">
      <w:pPr>
        <w:spacing w:after="0"/>
      </w:pPr>
      <w:bookmarkStart w:id="14" w:name="co_anchor_I8b22ec4ced1011e698dc8b09b4f04"/>
      <w:bookmarkEnd w:id="14"/>
    </w:p>
    <w:p w:rsidR="002C38CE" w:rsidRPr="002C38CE" w:rsidRDefault="002C38CE" w:rsidP="002C38CE">
      <w:pPr>
        <w:spacing w:after="0"/>
        <w:rPr>
          <w:b/>
          <w:bCs/>
        </w:rPr>
      </w:pPr>
      <w:r w:rsidRPr="002C38CE">
        <w:rPr>
          <w:b/>
          <w:bCs/>
        </w:rPr>
        <w:t>ANALYSIS</w:t>
      </w:r>
    </w:p>
    <w:p w:rsidR="002C38CE" w:rsidRPr="002C38CE" w:rsidRDefault="002C38CE" w:rsidP="002C38CE">
      <w:pPr>
        <w:spacing w:after="0"/>
        <w:rPr>
          <w:b/>
          <w:bCs/>
        </w:rPr>
      </w:pPr>
      <w:r w:rsidRPr="002C38CE">
        <w:rPr>
          <w:b/>
          <w:bCs/>
        </w:rPr>
        <w:t>Hearsay</w:t>
      </w:r>
    </w:p>
    <w:p w:rsidR="002C38CE" w:rsidRPr="002C38CE" w:rsidRDefault="002C38CE" w:rsidP="002C38CE">
      <w:pPr>
        <w:spacing w:after="0"/>
      </w:pPr>
      <w:bookmarkStart w:id="15" w:name="co_pp_sp_999_2_1"/>
      <w:bookmarkEnd w:id="15"/>
      <w:r w:rsidRPr="002C38CE">
        <w:rPr>
          <w:b/>
          <w:bCs/>
        </w:rPr>
        <w:t>*2</w:t>
      </w:r>
      <w:r w:rsidRPr="002C38CE">
        <w:t xml:space="preserve"> Corporal Boyd was the first officer to arrive at the location along </w:t>
      </w:r>
      <w:proofErr w:type="spellStart"/>
      <w:r w:rsidRPr="002C38CE">
        <w:t>MoPac</w:t>
      </w:r>
      <w:proofErr w:type="spellEnd"/>
      <w:r w:rsidRPr="002C38CE">
        <w:t xml:space="preserve"> where Kemp had found Smith following the assault. Boyd testified that his patrol vehicle was equipped with a “digital mobile audio video system” that, combined with a body microphone that he was wearing, enabled him to record what was said and done following his arrival at the scene. A copy of this 45-minute recording—which contained numerous statements made by Boyd to Smith, EMS personnel, and other police officers during the course of Boyd’s roadside investigation—was admitted into evidence and played for the jury during Boyd’s testimony. In his first point of error, Adkins asserts that Boyd’s statements in the recording constituted inadmissible hearsay and that the district court accordingly abused its discretion in admitting the recording.</w:t>
      </w:r>
      <w:bookmarkStart w:id="16" w:name="co_footnoteReference_B00092040882508_ID0"/>
      <w:bookmarkEnd w:id="16"/>
      <w:r w:rsidRPr="002C38CE">
        <w:fldChar w:fldCharType="begin"/>
      </w:r>
      <w:r w:rsidRPr="002C38CE">
        <w:instrText xml:space="preserve">HYPERLINK "#co_footnote_B00092040882508_1" </w:instrText>
      </w:r>
      <w:r w:rsidRPr="002C38CE">
        <w:fldChar w:fldCharType="separate"/>
      </w:r>
      <w:r w:rsidRPr="002C38CE">
        <w:rPr>
          <w:rStyle w:val="Hyperlink"/>
          <w:vertAlign w:val="superscript"/>
        </w:rPr>
        <w:t>9</w:t>
      </w:r>
      <w:r w:rsidRPr="002C38CE">
        <w:fldChar w:fldCharType="end"/>
      </w:r>
    </w:p>
    <w:p w:rsidR="002C38CE" w:rsidRPr="002C38CE" w:rsidRDefault="002C38CE" w:rsidP="002C38CE">
      <w:pPr>
        <w:spacing w:after="0"/>
      </w:pPr>
      <w:r w:rsidRPr="002C38CE">
        <w:t> </w:t>
      </w:r>
    </w:p>
    <w:p w:rsidR="002C38CE" w:rsidRPr="002C38CE" w:rsidRDefault="002C38CE" w:rsidP="002C38CE">
      <w:pPr>
        <w:spacing w:after="0"/>
      </w:pPr>
      <w:r w:rsidRPr="002C38CE">
        <w:t>“Hearsay” is a statement, other than one made by the declarant while testifying at trial, offered in evidence to prove the truth of the matter asserted.</w:t>
      </w:r>
      <w:bookmarkStart w:id="17" w:name="co_footnoteReference_B00102040882508_ID0"/>
      <w:bookmarkEnd w:id="17"/>
      <w:r w:rsidRPr="002C38CE">
        <w:fldChar w:fldCharType="begin"/>
      </w:r>
      <w:r w:rsidRPr="002C38CE">
        <w:instrText xml:space="preserve">HYPERLINK "#co_footnote_B00102040882508_1" </w:instrText>
      </w:r>
      <w:r w:rsidRPr="002C38CE">
        <w:fldChar w:fldCharType="separate"/>
      </w:r>
      <w:r w:rsidRPr="002C38CE">
        <w:rPr>
          <w:rStyle w:val="Hyperlink"/>
          <w:vertAlign w:val="superscript"/>
        </w:rPr>
        <w:t>10</w:t>
      </w:r>
      <w:r w:rsidRPr="002C38CE">
        <w:fldChar w:fldCharType="end"/>
      </w:r>
      <w:r w:rsidRPr="002C38CE">
        <w:t xml:space="preserve"> Offense reports containing statements made by law enforcement officers during a criminal investigation—including audio and video recordings containing such statements—are generally considered to be inadmissible hearsay.</w:t>
      </w:r>
      <w:bookmarkStart w:id="18" w:name="co_footnoteReference_B00112040882508_ID0"/>
      <w:bookmarkEnd w:id="18"/>
      <w:r w:rsidRPr="002C38CE">
        <w:fldChar w:fldCharType="begin"/>
      </w:r>
      <w:r w:rsidRPr="002C38CE">
        <w:instrText xml:space="preserve">HYPERLINK "#co_footnote_B00112040882508_1" </w:instrText>
      </w:r>
      <w:r w:rsidRPr="002C38CE">
        <w:fldChar w:fldCharType="separate"/>
      </w:r>
      <w:r w:rsidRPr="002C38CE">
        <w:rPr>
          <w:rStyle w:val="Hyperlink"/>
          <w:vertAlign w:val="superscript"/>
        </w:rPr>
        <w:t>11</w:t>
      </w:r>
      <w:r w:rsidRPr="002C38CE">
        <w:fldChar w:fldCharType="end"/>
      </w:r>
      <w:r w:rsidRPr="002C38CE">
        <w:t xml:space="preserve"> “An officer may testify in the courtroom to what he saw, did, heard, smelled, and felt at the </w:t>
      </w:r>
      <w:proofErr w:type="gramStart"/>
      <w:r w:rsidRPr="002C38CE">
        <w:lastRenderedPageBreak/>
        <w:t>scene</w:t>
      </w:r>
      <w:proofErr w:type="gramEnd"/>
      <w:r w:rsidRPr="002C38CE">
        <w:t>, but he cannot substitute or augment his in-court testimony with an out-of-court oral narrative.”</w:t>
      </w:r>
      <w:bookmarkStart w:id="19" w:name="co_footnoteReference_B00122040882508_ID0"/>
      <w:bookmarkEnd w:id="19"/>
      <w:r w:rsidRPr="002C38CE">
        <w:fldChar w:fldCharType="begin"/>
      </w:r>
      <w:r w:rsidRPr="002C38CE">
        <w:instrText xml:space="preserve">HYPERLINK "#co_footnote_B00122040882508_1" </w:instrText>
      </w:r>
      <w:r w:rsidRPr="002C38CE">
        <w:fldChar w:fldCharType="separate"/>
      </w:r>
      <w:r w:rsidRPr="002C38CE">
        <w:rPr>
          <w:rStyle w:val="Hyperlink"/>
          <w:vertAlign w:val="superscript"/>
        </w:rPr>
        <w:t>12</w:t>
      </w:r>
      <w:r w:rsidRPr="002C38CE">
        <w:fldChar w:fldCharType="end"/>
      </w:r>
      <w:r w:rsidRPr="002C38CE">
        <w:t xml:space="preserve"> Such a narrative constitutes a “speaking offense report” in which the “on-the-scene observations and narrations of a police officer conducting a roadside investigation ... are fraught with the thought of a future prosecution: the police officer is gathering evidence to use in deciding whether to arrest and charge someone with a crime.”</w:t>
      </w:r>
      <w:bookmarkStart w:id="20" w:name="co_footnoteReference_B00132040882508_ID0"/>
      <w:bookmarkEnd w:id="20"/>
      <w:r w:rsidRPr="002C38CE">
        <w:fldChar w:fldCharType="begin"/>
      </w:r>
      <w:r w:rsidRPr="002C38CE">
        <w:instrText xml:space="preserve">HYPERLINK "#co_footnote_B00132040882508_1" </w:instrText>
      </w:r>
      <w:r w:rsidRPr="002C38CE">
        <w:fldChar w:fldCharType="separate"/>
      </w:r>
      <w:r w:rsidRPr="002C38CE">
        <w:rPr>
          <w:rStyle w:val="Hyperlink"/>
          <w:vertAlign w:val="superscript"/>
        </w:rPr>
        <w:t>13</w:t>
      </w:r>
      <w:r w:rsidRPr="002C38CE">
        <w:fldChar w:fldCharType="end"/>
      </w:r>
      <w:r w:rsidRPr="002C38CE">
        <w:t xml:space="preserve"> Accordingly, an officer “may testify to exactly what he saw and heard during his [roadside investigation], and his words might be the very same as those he used during his on-the-scene narrative, but they must be given under oath and subject to cross-examination.”</w:t>
      </w:r>
      <w:bookmarkStart w:id="21" w:name="co_footnoteReference_B00142040882508_ID0"/>
      <w:bookmarkEnd w:id="21"/>
      <w:r w:rsidRPr="002C38CE">
        <w:fldChar w:fldCharType="begin"/>
      </w:r>
      <w:r w:rsidRPr="002C38CE">
        <w:instrText xml:space="preserve">HYPERLINK "#co_footnote_B00142040882508_1" </w:instrText>
      </w:r>
      <w:r w:rsidRPr="002C38CE">
        <w:fldChar w:fldCharType="separate"/>
      </w:r>
      <w:r w:rsidRPr="002C38CE">
        <w:rPr>
          <w:rStyle w:val="Hyperlink"/>
          <w:vertAlign w:val="superscript"/>
        </w:rPr>
        <w:t>14</w:t>
      </w:r>
      <w:r w:rsidRPr="002C38CE">
        <w:fldChar w:fldCharType="end"/>
      </w:r>
    </w:p>
    <w:p w:rsidR="002C38CE" w:rsidRPr="002C38CE" w:rsidRDefault="002C38CE" w:rsidP="002C38CE">
      <w:pPr>
        <w:spacing w:after="0"/>
      </w:pPr>
      <w:r w:rsidRPr="002C38CE">
        <w:t> </w:t>
      </w:r>
    </w:p>
    <w:p w:rsidR="002C38CE" w:rsidRPr="002C38CE" w:rsidRDefault="002C38CE" w:rsidP="002C38CE">
      <w:pPr>
        <w:spacing w:after="0"/>
      </w:pPr>
      <w:r w:rsidRPr="002C38CE">
        <w:t xml:space="preserve">Assuming without deciding that Boyd’s statements in the recording constituted inadmissible hearsay, we cannot conclude on this record that Adkins was harmed by their admission. </w:t>
      </w:r>
      <w:proofErr w:type="spellStart"/>
      <w:r w:rsidRPr="002C38CE">
        <w:t>Nonconstitutional</w:t>
      </w:r>
      <w:proofErr w:type="spellEnd"/>
      <w:r w:rsidRPr="002C38CE">
        <w:t xml:space="preserve"> error that does not affect a defendant’s substantial rights must be disregarded.</w:t>
      </w:r>
      <w:bookmarkStart w:id="22" w:name="co_footnoteReference_B00152040882508_ID0"/>
      <w:bookmarkEnd w:id="22"/>
      <w:r w:rsidRPr="002C38CE">
        <w:fldChar w:fldCharType="begin"/>
      </w:r>
      <w:r w:rsidRPr="002C38CE">
        <w:instrText xml:space="preserve">HYPERLINK "#co_footnote_B00152040882508_1" </w:instrText>
      </w:r>
      <w:r w:rsidRPr="002C38CE">
        <w:fldChar w:fldCharType="separate"/>
      </w:r>
      <w:r w:rsidRPr="002C38CE">
        <w:rPr>
          <w:rStyle w:val="Hyperlink"/>
          <w:vertAlign w:val="superscript"/>
        </w:rPr>
        <w:t>15</w:t>
      </w:r>
      <w:r w:rsidRPr="002C38CE">
        <w:fldChar w:fldCharType="end"/>
      </w:r>
      <w:r w:rsidRPr="002C38CE">
        <w:t xml:space="preserve"> “A substantial right is affected when the error had a substantial and injurious effect or influence in determining the jury’s verdict.”</w:t>
      </w:r>
      <w:bookmarkStart w:id="23" w:name="co_footnoteReference_B00162040882508_ID0"/>
      <w:bookmarkEnd w:id="23"/>
      <w:r w:rsidRPr="002C38CE">
        <w:fldChar w:fldCharType="begin"/>
      </w:r>
      <w:r w:rsidRPr="002C38CE">
        <w:instrText xml:space="preserve">HYPERLINK "#co_footnote_B00162040882508_1" </w:instrText>
      </w:r>
      <w:r w:rsidRPr="002C38CE">
        <w:fldChar w:fldCharType="separate"/>
      </w:r>
      <w:r w:rsidRPr="002C38CE">
        <w:rPr>
          <w:rStyle w:val="Hyperlink"/>
          <w:vertAlign w:val="superscript"/>
        </w:rPr>
        <w:t>16</w:t>
      </w:r>
      <w:r w:rsidRPr="002C38CE">
        <w:fldChar w:fldCharType="end"/>
      </w:r>
      <w:r w:rsidRPr="002C38CE">
        <w:t xml:space="preserve"> Therefore, “[a] criminal conviction should not be overturned for non-constitutional error if the appellate court, after examining the record as whole, has fair assurance that the error did not influence the jury, or had but a slight effect.”</w:t>
      </w:r>
      <w:bookmarkStart w:id="24" w:name="co_footnoteReference_B00172040882508_ID0"/>
      <w:bookmarkEnd w:id="24"/>
      <w:r w:rsidRPr="002C38CE">
        <w:fldChar w:fldCharType="begin"/>
      </w:r>
      <w:r w:rsidRPr="002C38CE">
        <w:instrText xml:space="preserve">HYPERLINK "#co_footnote_B00172040882508_1" </w:instrText>
      </w:r>
      <w:r w:rsidRPr="002C38CE">
        <w:fldChar w:fldCharType="separate"/>
      </w:r>
      <w:r w:rsidRPr="002C38CE">
        <w:rPr>
          <w:rStyle w:val="Hyperlink"/>
          <w:vertAlign w:val="superscript"/>
        </w:rPr>
        <w:t>17</w:t>
      </w:r>
      <w:r w:rsidRPr="002C38CE">
        <w:fldChar w:fldCharType="end"/>
      </w:r>
      <w:r w:rsidRPr="002C38CE">
        <w:t xml:space="preserve"> It is well established that “[</w:t>
      </w:r>
      <w:proofErr w:type="spellStart"/>
      <w:r w:rsidRPr="002C38CE">
        <w:t>i</w:t>
      </w:r>
      <w:proofErr w:type="spellEnd"/>
      <w:r w:rsidRPr="002C38CE">
        <w:t>]</w:t>
      </w:r>
      <w:proofErr w:type="spellStart"/>
      <w:r w:rsidRPr="002C38CE">
        <w:t>nadmissible</w:t>
      </w:r>
      <w:proofErr w:type="spellEnd"/>
      <w:r w:rsidRPr="002C38CE">
        <w:t xml:space="preserve"> evidence can be rendered harmless if other evidence at trial is admitted without objection and it proves the same fact that the inadmissible evidence sought to prove.”</w:t>
      </w:r>
      <w:bookmarkStart w:id="25" w:name="co_footnoteReference_B00182040882508_ID0"/>
      <w:bookmarkEnd w:id="25"/>
      <w:r w:rsidRPr="002C38CE">
        <w:fldChar w:fldCharType="begin"/>
      </w:r>
      <w:r w:rsidRPr="002C38CE">
        <w:instrText xml:space="preserve">HYPERLINK "#co_footnote_B00182040882508_1" </w:instrText>
      </w:r>
      <w:r w:rsidRPr="002C38CE">
        <w:fldChar w:fldCharType="separate"/>
      </w:r>
      <w:r w:rsidRPr="002C38CE">
        <w:rPr>
          <w:rStyle w:val="Hyperlink"/>
          <w:vertAlign w:val="superscript"/>
        </w:rPr>
        <w:t>18</w:t>
      </w:r>
      <w:r w:rsidRPr="002C38CE">
        <w:fldChar w:fldCharType="end"/>
      </w:r>
    </w:p>
    <w:p w:rsidR="002C38CE" w:rsidRPr="002C38CE" w:rsidRDefault="002C38CE" w:rsidP="002C38CE">
      <w:pPr>
        <w:spacing w:after="0"/>
      </w:pPr>
      <w:r w:rsidRPr="002C38CE">
        <w:t> </w:t>
      </w:r>
    </w:p>
    <w:p w:rsidR="002C38CE" w:rsidRPr="002C38CE" w:rsidRDefault="002C38CE" w:rsidP="002C38CE">
      <w:pPr>
        <w:spacing w:after="0"/>
      </w:pPr>
      <w:bookmarkStart w:id="26" w:name="co_pp_sp_999_3_1"/>
      <w:bookmarkEnd w:id="26"/>
      <w:r w:rsidRPr="002C38CE">
        <w:rPr>
          <w:b/>
          <w:bCs/>
        </w:rPr>
        <w:t>*3</w:t>
      </w:r>
      <w:r w:rsidRPr="002C38CE">
        <w:t xml:space="preserve"> </w:t>
      </w:r>
      <w:proofErr w:type="gramStart"/>
      <w:r w:rsidRPr="002C38CE">
        <w:t>We</w:t>
      </w:r>
      <w:proofErr w:type="gramEnd"/>
      <w:r w:rsidRPr="002C38CE">
        <w:t xml:space="preserve"> first observe that many of Boyd’s statements on the recording consisted of Boyd repeating details of the assault and the events preceding it that had been told to him by Smith. However, Smith provided extensive testimony during trial regarding those same facts. Thus, many of Boyd’s statements in the recording were merely cumulative of Smith’s more detailed testimony describing the assault. Other statements made by Boyd in the recording, including statements in which he had discussed the nature of Smith’s injuries with EMS personnel and had provided descriptive information to other officers regarding the vehicle that Adkins was driving and the location of the assault, were similarly cumulative of other evidence in the record that was admitted without objection. The material evidence consisted of: the testimony of Boyd, who recounted his observations of Smith’s injuries, explaining that she had “some swelling on her face from being hit in the face, </w:t>
      </w:r>
      <w:hyperlink r:id="rId10" w:history="1">
        <w:r w:rsidRPr="002C38CE">
          <w:rPr>
            <w:rStyle w:val="Hyperlink"/>
          </w:rPr>
          <w:t>bruises on her arms</w:t>
        </w:r>
      </w:hyperlink>
      <w:r w:rsidRPr="002C38CE">
        <w:t xml:space="preserve">, [and] </w:t>
      </w:r>
      <w:hyperlink r:id="rId11" w:history="1">
        <w:r w:rsidRPr="002C38CE">
          <w:rPr>
            <w:rStyle w:val="Hyperlink"/>
          </w:rPr>
          <w:t>abrasions on her knees</w:t>
        </w:r>
      </w:hyperlink>
      <w:r w:rsidRPr="002C38CE">
        <w:t xml:space="preserve">”; multiple photographs of Smith showing the extent of her injuries; the testimony of Corporal Ryan Lillie of the Austin Police Department, who testified that he had found the location where the assault had occurred and that he had discovered a purse and other personal property belonging to Smith at that location; the testimony of Kemp, who described a truck that he had seen fleeing the scene near where Kemp had found Smith; and the testimony of </w:t>
      </w:r>
      <w:proofErr w:type="spellStart"/>
      <w:r w:rsidRPr="002C38CE">
        <w:t>Simkins</w:t>
      </w:r>
      <w:proofErr w:type="spellEnd"/>
      <w:r w:rsidRPr="002C38CE">
        <w:t xml:space="preserve">, Smith’s friend, who had been with Adkins and Smith the day and night preceding the assault and who was able to describe the truck that Adkins had been driving at the time the three of them had been together. In summary, even if the statements made by Boyd in the recording constituted inadmissible hearsay, the same facts were proven by other properly admitted evidence and thus did not affect Adkins’s </w:t>
      </w:r>
      <w:r w:rsidRPr="002C38CE">
        <w:lastRenderedPageBreak/>
        <w:t>substantial rights. Accordingly, we cannot conclude that Adkins was harmed by any error in admitting Boyd’s statements in the recording.</w:t>
      </w:r>
    </w:p>
    <w:p w:rsidR="002C38CE" w:rsidRPr="002C38CE" w:rsidRDefault="002C38CE" w:rsidP="002C38CE">
      <w:pPr>
        <w:spacing w:after="0"/>
      </w:pPr>
      <w:r w:rsidRPr="002C38CE">
        <w:t> </w:t>
      </w:r>
    </w:p>
    <w:p w:rsidR="002C38CE" w:rsidRPr="002C38CE" w:rsidRDefault="002C38CE" w:rsidP="002C38CE">
      <w:pPr>
        <w:spacing w:after="0"/>
      </w:pPr>
      <w:r w:rsidRPr="002C38CE">
        <w:t>We overrule Adkins’s first point of error.</w:t>
      </w:r>
    </w:p>
    <w:p w:rsidR="002C38CE" w:rsidRPr="002C38CE" w:rsidRDefault="002C38CE" w:rsidP="002C38CE">
      <w:pPr>
        <w:spacing w:after="0"/>
      </w:pPr>
      <w:r w:rsidRPr="002C38CE">
        <w:t> </w:t>
      </w:r>
    </w:p>
    <w:p w:rsidR="002C38CE" w:rsidRPr="002C38CE" w:rsidRDefault="002C38CE" w:rsidP="002C38CE">
      <w:pPr>
        <w:spacing w:after="0"/>
      </w:pPr>
      <w:bookmarkStart w:id="27" w:name="co_anchor_I8b22ec4ded1011e698dc8b09b4f04"/>
      <w:bookmarkEnd w:id="27"/>
    </w:p>
    <w:p w:rsidR="002C38CE" w:rsidRPr="002C38CE" w:rsidRDefault="002C38CE" w:rsidP="002C38CE">
      <w:pPr>
        <w:spacing w:after="0"/>
        <w:rPr>
          <w:b/>
          <w:bCs/>
        </w:rPr>
      </w:pPr>
      <w:r w:rsidRPr="002C38CE">
        <w:rPr>
          <w:b/>
          <w:bCs/>
        </w:rPr>
        <w:t>Rule 403 objection</w:t>
      </w:r>
    </w:p>
    <w:p w:rsidR="002C38CE" w:rsidRPr="002C38CE" w:rsidRDefault="002C38CE" w:rsidP="002C38CE">
      <w:pPr>
        <w:spacing w:after="0"/>
      </w:pPr>
      <w:r w:rsidRPr="002C38CE">
        <w:t>Smith testified that before Adkins had sexually assaulted her, he had threatened to kill her. When the State asked Smith to describe the threat in more detail, Smith testified, over a Rule 403 objection by Adkins, that Adkins had told her “that he was going to fuck me and that he didn’t want to go to jail so he was going to kill me so he wouldn’t go back.” In his second point of error, Adkins asserts that Smith’s testimony alluding to the fact that Adkins had previously been in jail was more prejudicial than probative and should have been excluded for that reason.</w:t>
      </w:r>
    </w:p>
    <w:p w:rsidR="002C38CE" w:rsidRPr="002C38CE" w:rsidRDefault="002C38CE" w:rsidP="002C38CE">
      <w:pPr>
        <w:spacing w:after="0"/>
      </w:pPr>
      <w:r w:rsidRPr="002C38CE">
        <w:t> </w:t>
      </w:r>
    </w:p>
    <w:p w:rsidR="002C38CE" w:rsidRPr="002C38CE" w:rsidRDefault="002C38CE" w:rsidP="002C38CE">
      <w:pPr>
        <w:spacing w:after="0"/>
      </w:pPr>
      <w:r w:rsidRPr="002C38CE">
        <w:t>Rule 403 allows for the exclusion of evidence if its probative value is “substantially outweighed” by the danger of unfair prejudice, confusing the issues, misleading the jury, undue delay, or needlessly presenting cumulative evidence.</w:t>
      </w:r>
      <w:bookmarkStart w:id="28" w:name="co_footnoteReference_B00192040882508_ID0"/>
      <w:bookmarkEnd w:id="28"/>
      <w:r w:rsidRPr="002C38CE">
        <w:fldChar w:fldCharType="begin"/>
      </w:r>
      <w:r w:rsidRPr="002C38CE">
        <w:instrText xml:space="preserve">HYPERLINK "#co_footnote_B00192040882508_1" </w:instrText>
      </w:r>
      <w:r w:rsidRPr="002C38CE">
        <w:fldChar w:fldCharType="separate"/>
      </w:r>
      <w:r w:rsidRPr="002C38CE">
        <w:rPr>
          <w:rStyle w:val="Hyperlink"/>
          <w:vertAlign w:val="superscript"/>
        </w:rPr>
        <w:t>19</w:t>
      </w:r>
      <w:r w:rsidRPr="002C38CE">
        <w:fldChar w:fldCharType="end"/>
      </w:r>
      <w:r w:rsidRPr="002C38CE">
        <w:t xml:space="preserve"> “Accordingly, ‘the plain language of Rule 403 does not allow a trial court to exclude otherwise relevant evidence when that evidence is merely prejudicial. Indeed, all evidence against a defendant is, by its very nature, designed to be prejudicial.’ ”</w:t>
      </w:r>
      <w:bookmarkStart w:id="29" w:name="co_footnoteReference_B00202040882508_ID0"/>
      <w:bookmarkEnd w:id="29"/>
      <w:r w:rsidRPr="002C38CE">
        <w:fldChar w:fldCharType="begin"/>
      </w:r>
      <w:r w:rsidRPr="002C38CE">
        <w:instrText xml:space="preserve">HYPERLINK "#co_footnote_B00202040882508_1" </w:instrText>
      </w:r>
      <w:r w:rsidRPr="002C38CE">
        <w:fldChar w:fldCharType="separate"/>
      </w:r>
      <w:r w:rsidRPr="002C38CE">
        <w:rPr>
          <w:rStyle w:val="Hyperlink"/>
          <w:vertAlign w:val="superscript"/>
        </w:rPr>
        <w:t>20</w:t>
      </w:r>
      <w:r w:rsidRPr="002C38CE">
        <w:fldChar w:fldCharType="end"/>
      </w:r>
      <w:r w:rsidRPr="002C38CE">
        <w:t xml:space="preserve"> Rather, “[t]he rule envisions exclusion of evidence only when there is a ‘clear disparity between the degree of prejudice of the offered evidence and its probative value.’ ”</w:t>
      </w:r>
      <w:bookmarkStart w:id="30" w:name="co_footnoteReference_B00212040882508_ID0"/>
      <w:bookmarkEnd w:id="30"/>
      <w:r w:rsidRPr="002C38CE">
        <w:fldChar w:fldCharType="begin"/>
      </w:r>
      <w:r w:rsidRPr="002C38CE">
        <w:instrText xml:space="preserve">HYPERLINK "#co_footnote_B00212040882508_1" </w:instrText>
      </w:r>
      <w:r w:rsidRPr="002C38CE">
        <w:fldChar w:fldCharType="separate"/>
      </w:r>
      <w:r w:rsidRPr="002C38CE">
        <w:rPr>
          <w:rStyle w:val="Hyperlink"/>
          <w:vertAlign w:val="superscript"/>
        </w:rPr>
        <w:t>21</w:t>
      </w:r>
      <w:r w:rsidRPr="002C38CE">
        <w:fldChar w:fldCharType="end"/>
      </w:r>
      <w:r w:rsidRPr="002C38CE">
        <w:t xml:space="preserve"> In determining whether such a disparity exists, “a trial court, when undertaking a Rule 403 analysis, must balance (1) the inherent probative force of the proffered item of evidence along with (2) the proponent’s need for that evidence against (3) any tendency of the evidence to suggest decision on an improper basis, (4) any tendency of the evidence to confuse or distract the jury from the main issues, (5) any tendency of the evidence to be given undue weight by a jury that has not been equipped to evaluate the probative force of the evidence, and (6) the likelihood that presentation of the evidence will consume an inordinate amount of time or merely repeat evidence already admitted.”</w:t>
      </w:r>
      <w:bookmarkStart w:id="31" w:name="co_footnoteReference_B00222040882508_ID0"/>
      <w:bookmarkEnd w:id="31"/>
      <w:r w:rsidRPr="002C38CE">
        <w:fldChar w:fldCharType="begin"/>
      </w:r>
      <w:r w:rsidRPr="002C38CE">
        <w:instrText xml:space="preserve">HYPERLINK "#co_footnote_B00222040882508_1" </w:instrText>
      </w:r>
      <w:r w:rsidRPr="002C38CE">
        <w:fldChar w:fldCharType="separate"/>
      </w:r>
      <w:r w:rsidRPr="002C38CE">
        <w:rPr>
          <w:rStyle w:val="Hyperlink"/>
          <w:vertAlign w:val="superscript"/>
        </w:rPr>
        <w:t>22</w:t>
      </w:r>
      <w:r w:rsidRPr="002C38CE">
        <w:fldChar w:fldCharType="end"/>
      </w:r>
      <w:r w:rsidRPr="002C38CE">
        <w:t xml:space="preserve"> “[T]</w:t>
      </w:r>
      <w:proofErr w:type="spellStart"/>
      <w:r w:rsidRPr="002C38CE">
        <w:t>hese</w:t>
      </w:r>
      <w:proofErr w:type="spellEnd"/>
      <w:r w:rsidRPr="002C38CE">
        <w:t xml:space="preserve"> factors may well blend together in practice.”</w:t>
      </w:r>
      <w:bookmarkStart w:id="32" w:name="co_footnoteReference_B00232040882508_ID0"/>
      <w:bookmarkEnd w:id="32"/>
      <w:r w:rsidRPr="002C38CE">
        <w:fldChar w:fldCharType="begin"/>
      </w:r>
      <w:r w:rsidRPr="002C38CE">
        <w:instrText xml:space="preserve">HYPERLINK "#co_footnote_B00232040882508_1" </w:instrText>
      </w:r>
      <w:r w:rsidRPr="002C38CE">
        <w:fldChar w:fldCharType="separate"/>
      </w:r>
      <w:r w:rsidRPr="002C38CE">
        <w:rPr>
          <w:rStyle w:val="Hyperlink"/>
          <w:vertAlign w:val="superscript"/>
        </w:rPr>
        <w:t>23</w:t>
      </w:r>
      <w:r w:rsidRPr="002C38CE">
        <w:fldChar w:fldCharType="end"/>
      </w:r>
    </w:p>
    <w:p w:rsidR="002C38CE" w:rsidRPr="002C38CE" w:rsidRDefault="002C38CE" w:rsidP="002C38CE">
      <w:pPr>
        <w:spacing w:after="0"/>
      </w:pPr>
      <w:r w:rsidRPr="002C38CE">
        <w:t> </w:t>
      </w:r>
    </w:p>
    <w:p w:rsidR="002C38CE" w:rsidRPr="002C38CE" w:rsidRDefault="002C38CE" w:rsidP="002C38CE">
      <w:pPr>
        <w:spacing w:after="0"/>
      </w:pPr>
      <w:r w:rsidRPr="002C38CE">
        <w:t xml:space="preserve">In this case, it would not have been outside the zone of reasonable disagreement for the district court to find that there was no “clear disparity” between the probative value of the evidence and its prejudicial effect. Adkins was charged with the offense of aggravated sexual assault. </w:t>
      </w:r>
      <w:proofErr w:type="gramStart"/>
      <w:r w:rsidRPr="002C38CE">
        <w:t>One of the elements of that offense as charged was that the defendant “by acts or words place[d] the victim in fear” of death or serious bodily injury.</w:t>
      </w:r>
      <w:bookmarkStart w:id="33" w:name="co_footnoteReference_B00242040882508_ID0"/>
      <w:bookmarkEnd w:id="33"/>
      <w:proofErr w:type="gramEnd"/>
      <w:r w:rsidRPr="002C38CE">
        <w:fldChar w:fldCharType="begin"/>
      </w:r>
      <w:r w:rsidRPr="002C38CE">
        <w:instrText xml:space="preserve">HYPERLINK "#co_footnote_B00242040882508_1" </w:instrText>
      </w:r>
      <w:r w:rsidRPr="002C38CE">
        <w:fldChar w:fldCharType="separate"/>
      </w:r>
      <w:r w:rsidRPr="002C38CE">
        <w:rPr>
          <w:rStyle w:val="Hyperlink"/>
          <w:vertAlign w:val="superscript"/>
        </w:rPr>
        <w:t>24</w:t>
      </w:r>
      <w:r w:rsidRPr="002C38CE">
        <w:fldChar w:fldCharType="end"/>
      </w:r>
      <w:r w:rsidRPr="002C38CE">
        <w:t xml:space="preserve"> The district court would not have abused its discretion in concluding that evidence tending to show that Adkins did not want to “go back” to jail had a strong tendency to place Smith in fear that Adkins would follow through with his threat to kill her. As the district court noted in its ruling on the objection, “The fact that he says I’m not going back to jail, I mean, she’s aware he has been in jail and in my belief that makes the threat more meaningful and more powerful to the victim.” Nor would the district court have abused its </w:t>
      </w:r>
      <w:r w:rsidRPr="002C38CE">
        <w:lastRenderedPageBreak/>
        <w:t>discretion in concluding that the prejudicial effect of the evidence was minimal. The testimony did not reveal any details concerning why or for how long Adkins had been in jail, so as to suggest a jury decision on an improper or emotional basis, and presenting the evidence did not consume an inordinate amount of time during trial. On this record, we cannot conclude that the district court abused its discretion in failing to conclude that the probative value of the evidence was “substantially outweighed” by its prejudicial effect.</w:t>
      </w:r>
      <w:bookmarkStart w:id="34" w:name="co_footnoteReference_B00252040882508_ID0"/>
      <w:bookmarkEnd w:id="34"/>
      <w:r w:rsidRPr="002C38CE">
        <w:fldChar w:fldCharType="begin"/>
      </w:r>
      <w:r w:rsidRPr="002C38CE">
        <w:instrText xml:space="preserve">HYPERLINK "#co_footnote_B00252040882508_1" </w:instrText>
      </w:r>
      <w:r w:rsidRPr="002C38CE">
        <w:fldChar w:fldCharType="separate"/>
      </w:r>
      <w:r w:rsidRPr="002C38CE">
        <w:rPr>
          <w:rStyle w:val="Hyperlink"/>
          <w:vertAlign w:val="superscript"/>
        </w:rPr>
        <w:t>25</w:t>
      </w:r>
      <w:r w:rsidRPr="002C38CE">
        <w:fldChar w:fldCharType="end"/>
      </w:r>
    </w:p>
    <w:p w:rsidR="002C38CE" w:rsidRPr="002C38CE" w:rsidRDefault="002C38CE" w:rsidP="002C38CE">
      <w:pPr>
        <w:spacing w:after="0"/>
      </w:pPr>
      <w:r w:rsidRPr="002C38CE">
        <w:t> </w:t>
      </w:r>
    </w:p>
    <w:p w:rsidR="002C38CE" w:rsidRPr="002C38CE" w:rsidRDefault="002C38CE" w:rsidP="002C38CE">
      <w:pPr>
        <w:spacing w:after="0"/>
      </w:pPr>
      <w:bookmarkStart w:id="35" w:name="co_pp_sp_999_4_1"/>
      <w:bookmarkEnd w:id="35"/>
      <w:r w:rsidRPr="002C38CE">
        <w:rPr>
          <w:b/>
          <w:bCs/>
        </w:rPr>
        <w:t>*4</w:t>
      </w:r>
      <w:r w:rsidRPr="002C38CE">
        <w:t xml:space="preserve"> </w:t>
      </w:r>
      <w:proofErr w:type="gramStart"/>
      <w:r w:rsidRPr="002C38CE">
        <w:t>We</w:t>
      </w:r>
      <w:proofErr w:type="gramEnd"/>
      <w:r w:rsidRPr="002C38CE">
        <w:t xml:space="preserve"> overrule Adkins’s second point of error.</w:t>
      </w:r>
    </w:p>
    <w:p w:rsidR="002C38CE" w:rsidRPr="002C38CE" w:rsidRDefault="002C38CE" w:rsidP="002C38CE">
      <w:pPr>
        <w:spacing w:after="0"/>
      </w:pPr>
      <w:r w:rsidRPr="002C38CE">
        <w:t> </w:t>
      </w:r>
    </w:p>
    <w:p w:rsidR="002C38CE" w:rsidRPr="002C38CE" w:rsidRDefault="002C38CE" w:rsidP="002C38CE">
      <w:pPr>
        <w:spacing w:after="0"/>
      </w:pPr>
      <w:bookmarkStart w:id="36" w:name="co_anchor_I8b22ec4eed1011e698dc8b09b4f04"/>
      <w:bookmarkEnd w:id="36"/>
    </w:p>
    <w:p w:rsidR="002C38CE" w:rsidRPr="002C38CE" w:rsidRDefault="0085284B" w:rsidP="002C38CE">
      <w:pPr>
        <w:spacing w:after="0"/>
        <w:rPr>
          <w:b/>
          <w:bCs/>
        </w:rPr>
      </w:pPr>
      <w:hyperlink r:id="rId12" w:history="1">
        <w:r w:rsidR="002C38CE" w:rsidRPr="002C38CE">
          <w:rPr>
            <w:rStyle w:val="Hyperlink"/>
            <w:b/>
            <w:bCs/>
          </w:rPr>
          <w:t>Article 37.07</w:t>
        </w:r>
      </w:hyperlink>
      <w:r w:rsidR="002C38CE" w:rsidRPr="002C38CE">
        <w:rPr>
          <w:b/>
          <w:bCs/>
        </w:rPr>
        <w:t xml:space="preserve"> extraneous-offense notice</w:t>
      </w:r>
    </w:p>
    <w:p w:rsidR="002C38CE" w:rsidRPr="002C38CE" w:rsidRDefault="002C38CE" w:rsidP="002C38CE">
      <w:pPr>
        <w:spacing w:after="0"/>
      </w:pPr>
      <w:r w:rsidRPr="002C38CE">
        <w:t>Prior to trial, the State had provided written notice to Adkins that it intended to present evidence that Adkins had “[c]</w:t>
      </w:r>
      <w:proofErr w:type="spellStart"/>
      <w:r w:rsidRPr="002C38CE">
        <w:t>ommitted</w:t>
      </w:r>
      <w:proofErr w:type="spellEnd"/>
      <w:r w:rsidRPr="002C38CE">
        <w:t xml:space="preserve"> the offense of [a]</w:t>
      </w:r>
      <w:proofErr w:type="spellStart"/>
      <w:r w:rsidRPr="002C38CE">
        <w:t>ttempted</w:t>
      </w:r>
      <w:proofErr w:type="spellEnd"/>
      <w:r w:rsidRPr="002C38CE">
        <w:t xml:space="preserve"> [s]</w:t>
      </w:r>
      <w:proofErr w:type="spellStart"/>
      <w:r w:rsidRPr="002C38CE">
        <w:t>exual</w:t>
      </w:r>
      <w:proofErr w:type="spellEnd"/>
      <w:r w:rsidRPr="002C38CE">
        <w:t xml:space="preserve"> [a]</w:t>
      </w:r>
      <w:proofErr w:type="spellStart"/>
      <w:r w:rsidRPr="002C38CE">
        <w:t>ssault</w:t>
      </w:r>
      <w:proofErr w:type="spellEnd"/>
      <w:r w:rsidRPr="002C38CE">
        <w:t xml:space="preserve"> on August 6, 2009[,] in Travis </w:t>
      </w:r>
      <w:proofErr w:type="gramStart"/>
      <w:r w:rsidRPr="002C38CE">
        <w:t>County[</w:t>
      </w:r>
      <w:proofErr w:type="gramEnd"/>
      <w:r w:rsidRPr="002C38CE">
        <w:t>,] Texas [,] by attempting to [s]</w:t>
      </w:r>
      <w:proofErr w:type="spellStart"/>
      <w:r w:rsidRPr="002C38CE">
        <w:t>exually</w:t>
      </w:r>
      <w:proofErr w:type="spellEnd"/>
      <w:r w:rsidRPr="002C38CE">
        <w:t xml:space="preserve"> [a]</w:t>
      </w:r>
      <w:proofErr w:type="spellStart"/>
      <w:r w:rsidRPr="002C38CE">
        <w:t>ssault</w:t>
      </w:r>
      <w:proofErr w:type="spellEnd"/>
      <w:r w:rsidRPr="002C38CE">
        <w:t xml:space="preserve"> his therapist.” During the punishment phase of trial, that therapist was called as a witness and testified to the circumstances surrounding the attempted sexual assault. In his third point of error, Adkins asserts that the district court abused its discretion in admitting this extraneous-offense evidence because the State had failed to include in the notice the name of the therapist as required by </w:t>
      </w:r>
      <w:hyperlink r:id="rId13" w:history="1">
        <w:r w:rsidRPr="002C38CE">
          <w:rPr>
            <w:rStyle w:val="Hyperlink"/>
          </w:rPr>
          <w:t>Article 37.07 of the Code of Criminal Procedure</w:t>
        </w:r>
      </w:hyperlink>
      <w:r w:rsidRPr="002C38CE">
        <w:t>. Pursuant to that statute, “If the attorney representing the [S]</w:t>
      </w:r>
      <w:proofErr w:type="spellStart"/>
      <w:r w:rsidRPr="002C38CE">
        <w:t>tate</w:t>
      </w:r>
      <w:proofErr w:type="spellEnd"/>
      <w:r w:rsidRPr="002C38CE">
        <w:t xml:space="preserve"> intends to introduce an extraneous crime or bad act ... notice of that intent is reasonable only if the notice includes the date on which and the county in which the alleged crime or bad act occurred and </w:t>
      </w:r>
      <w:r w:rsidRPr="002C38CE">
        <w:rPr>
          <w:i/>
          <w:iCs/>
        </w:rPr>
        <w:t>the name of the alleged victim of the crime or bad act</w:t>
      </w:r>
      <w:r w:rsidRPr="002C38CE">
        <w:t>.”</w:t>
      </w:r>
      <w:bookmarkStart w:id="37" w:name="co_footnoteReference_B00262040882508_ID0"/>
      <w:bookmarkEnd w:id="37"/>
      <w:r w:rsidRPr="002C38CE">
        <w:fldChar w:fldCharType="begin"/>
      </w:r>
      <w:r w:rsidRPr="002C38CE">
        <w:instrText xml:space="preserve">HYPERLINK "#co_footnote_B00262040882508_1" </w:instrText>
      </w:r>
      <w:r w:rsidRPr="002C38CE">
        <w:fldChar w:fldCharType="separate"/>
      </w:r>
      <w:r w:rsidRPr="002C38CE">
        <w:rPr>
          <w:rStyle w:val="Hyperlink"/>
          <w:vertAlign w:val="superscript"/>
        </w:rPr>
        <w:t>26</w:t>
      </w:r>
      <w:r w:rsidRPr="002C38CE">
        <w:fldChar w:fldCharType="end"/>
      </w:r>
    </w:p>
    <w:p w:rsidR="002C38CE" w:rsidRPr="002C38CE" w:rsidRDefault="002C38CE" w:rsidP="002C38CE">
      <w:pPr>
        <w:spacing w:after="0"/>
      </w:pPr>
      <w:r w:rsidRPr="002C38CE">
        <w:t> </w:t>
      </w:r>
    </w:p>
    <w:p w:rsidR="002C38CE" w:rsidRPr="002C38CE" w:rsidRDefault="002C38CE" w:rsidP="002C38CE">
      <w:pPr>
        <w:spacing w:after="0"/>
      </w:pPr>
      <w:r w:rsidRPr="002C38CE">
        <w:t xml:space="preserve">The notice requirements of </w:t>
      </w:r>
      <w:hyperlink r:id="rId14" w:history="1">
        <w:r w:rsidRPr="002C38CE">
          <w:rPr>
            <w:rStyle w:val="Hyperlink"/>
          </w:rPr>
          <w:t>article 37.07</w:t>
        </w:r>
      </w:hyperlink>
      <w:r w:rsidRPr="002C38CE">
        <w:t xml:space="preserve"> are mandatory.</w:t>
      </w:r>
      <w:bookmarkStart w:id="38" w:name="co_footnoteReference_B00272040882508_ID0"/>
      <w:bookmarkEnd w:id="38"/>
      <w:r w:rsidRPr="002C38CE">
        <w:fldChar w:fldCharType="begin"/>
      </w:r>
      <w:r w:rsidRPr="002C38CE">
        <w:instrText xml:space="preserve">HYPERLINK "#co_footnote_B00272040882508_1" </w:instrText>
      </w:r>
      <w:r w:rsidRPr="002C38CE">
        <w:fldChar w:fldCharType="separate"/>
      </w:r>
      <w:r w:rsidRPr="002C38CE">
        <w:rPr>
          <w:rStyle w:val="Hyperlink"/>
          <w:vertAlign w:val="superscript"/>
        </w:rPr>
        <w:t>27</w:t>
      </w:r>
      <w:r w:rsidRPr="002C38CE">
        <w:fldChar w:fldCharType="end"/>
      </w:r>
      <w:r w:rsidRPr="002C38CE">
        <w:t xml:space="preserve"> However, “[a]</w:t>
      </w:r>
      <w:proofErr w:type="spellStart"/>
      <w:r w:rsidRPr="002C38CE">
        <w:t>lthough</w:t>
      </w:r>
      <w:proofErr w:type="spellEnd"/>
      <w:r w:rsidRPr="002C38CE">
        <w:t xml:space="preserve"> the notice provision is mandatory, ‘the violation of a mandatory statute does not, by itself, call for the reversal of a conviction.’ ”</w:t>
      </w:r>
      <w:bookmarkStart w:id="39" w:name="co_footnoteReference_B00282040882508_ID0"/>
      <w:bookmarkEnd w:id="39"/>
      <w:r w:rsidRPr="002C38CE">
        <w:fldChar w:fldCharType="begin"/>
      </w:r>
      <w:r w:rsidRPr="002C38CE">
        <w:instrText xml:space="preserve">HYPERLINK "#co_footnote_B00282040882508_1" </w:instrText>
      </w:r>
      <w:r w:rsidRPr="002C38CE">
        <w:fldChar w:fldCharType="separate"/>
      </w:r>
      <w:r w:rsidRPr="002C38CE">
        <w:rPr>
          <w:rStyle w:val="Hyperlink"/>
          <w:vertAlign w:val="superscript"/>
        </w:rPr>
        <w:t>28</w:t>
      </w:r>
      <w:r w:rsidRPr="002C38CE">
        <w:fldChar w:fldCharType="end"/>
      </w:r>
      <w:r w:rsidRPr="002C38CE">
        <w:t xml:space="preserve"> “We must disregard any </w:t>
      </w:r>
      <w:proofErr w:type="spellStart"/>
      <w:r w:rsidRPr="002C38CE">
        <w:t>nonconstitutional</w:t>
      </w:r>
      <w:proofErr w:type="spellEnd"/>
      <w:r w:rsidRPr="002C38CE">
        <w:t xml:space="preserve"> error that does not affect substantial rights.”</w:t>
      </w:r>
      <w:bookmarkStart w:id="40" w:name="co_footnoteReference_B00292040882508_ID0"/>
      <w:bookmarkEnd w:id="40"/>
      <w:r w:rsidRPr="002C38CE">
        <w:fldChar w:fldCharType="begin"/>
      </w:r>
      <w:r w:rsidRPr="002C38CE">
        <w:instrText xml:space="preserve">HYPERLINK "#co_footnote_B00292040882508_1" </w:instrText>
      </w:r>
      <w:r w:rsidRPr="002C38CE">
        <w:fldChar w:fldCharType="separate"/>
      </w:r>
      <w:r w:rsidRPr="002C38CE">
        <w:rPr>
          <w:rStyle w:val="Hyperlink"/>
          <w:vertAlign w:val="superscript"/>
        </w:rPr>
        <w:t>29</w:t>
      </w:r>
      <w:r w:rsidRPr="002C38CE">
        <w:fldChar w:fldCharType="end"/>
      </w:r>
      <w:r w:rsidRPr="002C38CE">
        <w:t xml:space="preserve"> To assess whether the defendant was harmed by a statutory violation, “we examine whether the purpose of the statute or rule violated was thwarted by the error.”</w:t>
      </w:r>
      <w:bookmarkStart w:id="41" w:name="co_footnoteReference_B00302040882508_ID0"/>
      <w:bookmarkEnd w:id="41"/>
      <w:r w:rsidRPr="002C38CE">
        <w:fldChar w:fldCharType="begin"/>
      </w:r>
      <w:r w:rsidRPr="002C38CE">
        <w:instrText xml:space="preserve">HYPERLINK "#co_footnote_B00302040882508_1" </w:instrText>
      </w:r>
      <w:r w:rsidRPr="002C38CE">
        <w:fldChar w:fldCharType="separate"/>
      </w:r>
      <w:r w:rsidRPr="002C38CE">
        <w:rPr>
          <w:rStyle w:val="Hyperlink"/>
          <w:vertAlign w:val="superscript"/>
        </w:rPr>
        <w:t>30</w:t>
      </w:r>
      <w:r w:rsidRPr="002C38CE">
        <w:fldChar w:fldCharType="end"/>
      </w:r>
      <w:r w:rsidRPr="002C38CE">
        <w:t xml:space="preserve"> “Accordingly, we must assess the harm from the violation of the notice provision of </w:t>
      </w:r>
      <w:hyperlink r:id="rId15" w:history="1">
        <w:r w:rsidRPr="002C38CE">
          <w:rPr>
            <w:rStyle w:val="Hyperlink"/>
          </w:rPr>
          <w:t>article 37.07</w:t>
        </w:r>
      </w:hyperlink>
      <w:r w:rsidRPr="002C38CE">
        <w:t>, section (3)(g) against its intended purpose,” which is “to enable the defendant to prepare to meet the extraneous offense evidence.”</w:t>
      </w:r>
      <w:bookmarkStart w:id="42" w:name="co_footnoteReference_B00312040882508_ID0"/>
      <w:bookmarkEnd w:id="42"/>
      <w:r w:rsidRPr="002C38CE">
        <w:fldChar w:fldCharType="begin"/>
      </w:r>
      <w:r w:rsidRPr="002C38CE">
        <w:instrText xml:space="preserve">HYPERLINK "#co_footnote_B00312040882508_1" </w:instrText>
      </w:r>
      <w:r w:rsidRPr="002C38CE">
        <w:fldChar w:fldCharType="separate"/>
      </w:r>
      <w:r w:rsidRPr="002C38CE">
        <w:rPr>
          <w:rStyle w:val="Hyperlink"/>
          <w:vertAlign w:val="superscript"/>
        </w:rPr>
        <w:t>31</w:t>
      </w:r>
      <w:r w:rsidRPr="002C38CE">
        <w:fldChar w:fldCharType="end"/>
      </w:r>
      <w:r w:rsidRPr="002C38CE">
        <w:t xml:space="preserve"> “Thus, we must analyze how the deficiency of the notice affected appellant’s ability to prepare for the evidence.”</w:t>
      </w:r>
      <w:bookmarkStart w:id="43" w:name="co_footnoteReference_B00322040882508_ID0"/>
      <w:bookmarkEnd w:id="43"/>
      <w:r w:rsidRPr="002C38CE">
        <w:fldChar w:fldCharType="begin"/>
      </w:r>
      <w:r w:rsidRPr="002C38CE">
        <w:instrText xml:space="preserve">HYPERLINK "#co_footnote_B00322040882508_1" </w:instrText>
      </w:r>
      <w:r w:rsidRPr="002C38CE">
        <w:fldChar w:fldCharType="separate"/>
      </w:r>
      <w:r w:rsidRPr="002C38CE">
        <w:rPr>
          <w:rStyle w:val="Hyperlink"/>
          <w:vertAlign w:val="superscript"/>
        </w:rPr>
        <w:t>32</w:t>
      </w:r>
      <w:r w:rsidRPr="002C38CE">
        <w:fldChar w:fldCharType="end"/>
      </w:r>
      <w:r w:rsidRPr="002C38CE">
        <w:t xml:space="preserve"> We also “examine the record to determine whether the deficient notice resulted from prosecutorial bad faith or prevented the defendant from preparing for trial.”</w:t>
      </w:r>
      <w:bookmarkStart w:id="44" w:name="co_footnoteReference_B00332040882508_ID0"/>
      <w:bookmarkEnd w:id="44"/>
      <w:r w:rsidRPr="002C38CE">
        <w:fldChar w:fldCharType="begin"/>
      </w:r>
      <w:r w:rsidRPr="002C38CE">
        <w:instrText xml:space="preserve">HYPERLINK "#co_footnote_B00332040882508_1" </w:instrText>
      </w:r>
      <w:r w:rsidRPr="002C38CE">
        <w:fldChar w:fldCharType="separate"/>
      </w:r>
      <w:r w:rsidRPr="002C38CE">
        <w:rPr>
          <w:rStyle w:val="Hyperlink"/>
          <w:vertAlign w:val="superscript"/>
        </w:rPr>
        <w:t>33</w:t>
      </w:r>
      <w:r w:rsidRPr="002C38CE">
        <w:fldChar w:fldCharType="end"/>
      </w:r>
    </w:p>
    <w:p w:rsidR="002C38CE" w:rsidRPr="002C38CE" w:rsidRDefault="002C38CE" w:rsidP="002C38CE">
      <w:pPr>
        <w:spacing w:after="0"/>
      </w:pPr>
      <w:r w:rsidRPr="002C38CE">
        <w:t> </w:t>
      </w:r>
    </w:p>
    <w:p w:rsidR="002C38CE" w:rsidRPr="002C38CE" w:rsidRDefault="002C38CE" w:rsidP="002C38CE">
      <w:pPr>
        <w:spacing w:after="0"/>
      </w:pPr>
      <w:r w:rsidRPr="002C38CE">
        <w:t>In this case, we first observe that the written notice that was provided to Adkins included at least some of the statutorily required information, including the name of the extraneous offense and the county in which it had occurred.</w:t>
      </w:r>
      <w:bookmarkStart w:id="45" w:name="co_footnoteReference_B00342040882508_ID0"/>
      <w:bookmarkEnd w:id="45"/>
      <w:r w:rsidRPr="002C38CE">
        <w:fldChar w:fldCharType="begin"/>
      </w:r>
      <w:r w:rsidRPr="002C38CE">
        <w:instrText xml:space="preserve">HYPERLINK "#co_footnote_B00342040882508_1" </w:instrText>
      </w:r>
      <w:r w:rsidRPr="002C38CE">
        <w:fldChar w:fldCharType="separate"/>
      </w:r>
      <w:r w:rsidRPr="002C38CE">
        <w:rPr>
          <w:rStyle w:val="Hyperlink"/>
          <w:vertAlign w:val="superscript"/>
        </w:rPr>
        <w:t>34</w:t>
      </w:r>
      <w:r w:rsidRPr="002C38CE">
        <w:fldChar w:fldCharType="end"/>
      </w:r>
      <w:r w:rsidRPr="002C38CE">
        <w:t xml:space="preserve"> And, although the notice failed to include the name of the victim, there is no indication in the record that Adkins did not know the identity of the therapist to whom the notice referred. Moreover, counsel for Adkins acknowledged during a hearing </w:t>
      </w:r>
      <w:r w:rsidRPr="002C38CE">
        <w:lastRenderedPageBreak/>
        <w:t>outside the presence of the jury that, prior to trial, he had received discovery concerning the extraneous offense, and Adkins has made no contention, either during trial or on appeal, that he was unprepared to meet the evidence as a result of the deficient notice.</w:t>
      </w:r>
    </w:p>
    <w:p w:rsidR="002C38CE" w:rsidRPr="002C38CE" w:rsidRDefault="002C38CE" w:rsidP="002C38CE">
      <w:pPr>
        <w:spacing w:after="0"/>
      </w:pPr>
      <w:r w:rsidRPr="002C38CE">
        <w:t> </w:t>
      </w:r>
    </w:p>
    <w:p w:rsidR="002C38CE" w:rsidRPr="002C38CE" w:rsidRDefault="002C38CE" w:rsidP="002C38CE">
      <w:pPr>
        <w:spacing w:after="0"/>
      </w:pPr>
      <w:bookmarkStart w:id="46" w:name="co_pp_sp_999_5_1"/>
      <w:bookmarkEnd w:id="46"/>
      <w:r w:rsidRPr="002C38CE">
        <w:rPr>
          <w:b/>
          <w:bCs/>
        </w:rPr>
        <w:t>*5</w:t>
      </w:r>
      <w:r w:rsidRPr="002C38CE">
        <w:t xml:space="preserve"> </w:t>
      </w:r>
      <w:proofErr w:type="gramStart"/>
      <w:r w:rsidRPr="002C38CE">
        <w:t>There</w:t>
      </w:r>
      <w:proofErr w:type="gramEnd"/>
      <w:r w:rsidRPr="002C38CE">
        <w:t xml:space="preserve"> is also no indication in the record that the State acted in bad faith when it failed to include the victim’s name in the notice. In response to Adkins’s objection to the notice, the prosecutor provided the following explanation for the deficiency:</w:t>
      </w:r>
    </w:p>
    <w:p w:rsidR="002C38CE" w:rsidRPr="002C38CE" w:rsidRDefault="002C38CE" w:rsidP="002C38CE">
      <w:pPr>
        <w:spacing w:after="0"/>
      </w:pPr>
      <w:r w:rsidRPr="002C38CE">
        <w:t xml:space="preserve">Judge, in response to that, me and Defense counsel had several conversations about the fact that a lot of this discovery was coming from a </w:t>
      </w:r>
      <w:r w:rsidRPr="002C38CE">
        <w:rPr>
          <w:b/>
          <w:bCs/>
        </w:rPr>
        <w:t>juvenile</w:t>
      </w:r>
      <w:r w:rsidRPr="002C38CE">
        <w:t xml:space="preserve"> court file and what we could and couldn’t turn over and make public record. And I invited him to come—I gave him discovery of this extraneous offense. I invited him to come and look at the entire </w:t>
      </w:r>
      <w:r w:rsidRPr="002C38CE">
        <w:rPr>
          <w:b/>
          <w:bCs/>
        </w:rPr>
        <w:t>juvenile</w:t>
      </w:r>
      <w:r w:rsidRPr="002C38CE">
        <w:t xml:space="preserve"> file. We did it that way, I assumed by agreement, to protect people’s confidentiality and to protect this defendant given that a lot of the information came from a </w:t>
      </w:r>
      <w:r w:rsidRPr="002C38CE">
        <w:rPr>
          <w:b/>
          <w:bCs/>
        </w:rPr>
        <w:t>juvenile</w:t>
      </w:r>
      <w:r w:rsidRPr="002C38CE">
        <w:t xml:space="preserve"> court file, which we’re not allowed to turn over because of the fact that it was obtained in </w:t>
      </w:r>
      <w:r w:rsidRPr="002C38CE">
        <w:rPr>
          <w:b/>
          <w:bCs/>
        </w:rPr>
        <w:t>juvenile</w:t>
      </w:r>
      <w:r w:rsidRPr="002C38CE">
        <w:t xml:space="preserve"> court.</w:t>
      </w:r>
    </w:p>
    <w:p w:rsidR="002C38CE" w:rsidRPr="002C38CE" w:rsidRDefault="002C38CE" w:rsidP="002C38CE">
      <w:pPr>
        <w:spacing w:after="0"/>
      </w:pPr>
      <w:r w:rsidRPr="002C38CE">
        <w:t xml:space="preserve">Later, when asked by the district court why the State did not disclose the therapist’s name, the prosecutor replied, “Because I talked to Defense counsel about that and we had several discussions about how much we were going to make public record and how much we weren’t. And in order to protect—because this sexual assault victim was not given the opportunity to have a pseudonym when she was in </w:t>
      </w:r>
      <w:r w:rsidRPr="002C38CE">
        <w:rPr>
          <w:b/>
          <w:bCs/>
        </w:rPr>
        <w:t>juvenile</w:t>
      </w:r>
      <w:r w:rsidRPr="002C38CE">
        <w:t xml:space="preserve"> court because of the way the </w:t>
      </w:r>
      <w:r w:rsidRPr="002C38CE">
        <w:rPr>
          <w:b/>
          <w:bCs/>
        </w:rPr>
        <w:t>juvenile</w:t>
      </w:r>
      <w:r w:rsidRPr="002C38CE">
        <w:t xml:space="preserve"> court handled that case. I didn’t want to make her name public record and we discussed that.” Counsel for Adkins did not dispute the prosecutor’s explanation for why the notice had failed to include the victim’s name. Because there is no indication in the record that the State had acted in bad faith or that Adkins was unable to prepare to meet the evidence, we cannot conclude that Adkins was harmed by the deficient notice.</w:t>
      </w:r>
    </w:p>
    <w:p w:rsidR="002C38CE" w:rsidRPr="002C38CE" w:rsidRDefault="002C38CE" w:rsidP="002C38CE">
      <w:pPr>
        <w:spacing w:after="0"/>
      </w:pPr>
      <w:r w:rsidRPr="002C38CE">
        <w:t> </w:t>
      </w:r>
    </w:p>
    <w:p w:rsidR="002C38CE" w:rsidRPr="002C38CE" w:rsidRDefault="002C38CE" w:rsidP="002C38CE">
      <w:pPr>
        <w:spacing w:after="0"/>
      </w:pPr>
      <w:r w:rsidRPr="002C38CE">
        <w:t>We overrule Adkins’s third point of error.</w:t>
      </w:r>
    </w:p>
    <w:p w:rsidR="002C38CE" w:rsidRPr="002C38CE" w:rsidRDefault="002C38CE" w:rsidP="002C38CE">
      <w:pPr>
        <w:spacing w:after="0"/>
      </w:pPr>
      <w:r w:rsidRPr="002C38CE">
        <w:t> </w:t>
      </w:r>
    </w:p>
    <w:p w:rsidR="002C38CE" w:rsidRPr="002C38CE" w:rsidRDefault="002C38CE" w:rsidP="002C38CE">
      <w:pPr>
        <w:spacing w:after="0"/>
      </w:pPr>
      <w:bookmarkStart w:id="47" w:name="co_anchor_I8b22ec4fed1011e698dc8b09b4f04"/>
      <w:bookmarkEnd w:id="47"/>
    </w:p>
    <w:p w:rsidR="002C38CE" w:rsidRPr="002C38CE" w:rsidRDefault="002C38CE" w:rsidP="002C38CE">
      <w:pPr>
        <w:spacing w:after="0"/>
        <w:rPr>
          <w:b/>
          <w:bCs/>
        </w:rPr>
      </w:pPr>
      <w:r w:rsidRPr="002C38CE">
        <w:rPr>
          <w:b/>
          <w:bCs/>
        </w:rPr>
        <w:t>CONCLUSION</w:t>
      </w:r>
    </w:p>
    <w:p w:rsidR="002C38CE" w:rsidRPr="002C38CE" w:rsidRDefault="002C38CE" w:rsidP="002C38CE">
      <w:pPr>
        <w:spacing w:after="0"/>
      </w:pPr>
      <w:r w:rsidRPr="002C38CE">
        <w:t>We affirm the judgment of the district court.</w:t>
      </w:r>
    </w:p>
    <w:p w:rsidR="002C38CE" w:rsidRPr="002C38CE" w:rsidRDefault="002C38CE" w:rsidP="002C38CE">
      <w:pPr>
        <w:spacing w:after="0"/>
      </w:pPr>
      <w:r w:rsidRPr="002C38CE">
        <w:t> </w:t>
      </w:r>
    </w:p>
    <w:p w:rsidR="002C38CE" w:rsidRPr="002C38CE" w:rsidRDefault="002C38CE" w:rsidP="002C38CE">
      <w:pPr>
        <w:spacing w:after="0"/>
      </w:pPr>
      <w:r w:rsidRPr="002C38CE">
        <w:t>Affirmed</w:t>
      </w:r>
    </w:p>
    <w:p w:rsidR="002C38CE" w:rsidRPr="002C38CE" w:rsidRDefault="002C38CE" w:rsidP="002C38CE">
      <w:pPr>
        <w:spacing w:after="0"/>
      </w:pPr>
      <w:r w:rsidRPr="002C38CE">
        <w:t> </w:t>
      </w:r>
    </w:p>
    <w:p w:rsidR="002C38CE" w:rsidRPr="002C38CE" w:rsidRDefault="002C38CE" w:rsidP="002C38CE">
      <w:pPr>
        <w:spacing w:after="0"/>
        <w:rPr>
          <w:b/>
          <w:bCs/>
        </w:rPr>
      </w:pPr>
      <w:bookmarkStart w:id="48" w:name="co_allCitations_1"/>
      <w:bookmarkEnd w:id="48"/>
      <w:r w:rsidRPr="002C38CE">
        <w:rPr>
          <w:b/>
          <w:bCs/>
        </w:rPr>
        <w:t>All Citations</w:t>
      </w:r>
    </w:p>
    <w:p w:rsidR="002C38CE" w:rsidRPr="002C38CE" w:rsidRDefault="002C38CE" w:rsidP="002C38CE">
      <w:pPr>
        <w:spacing w:after="0"/>
      </w:pPr>
      <w:r w:rsidRPr="002C38CE">
        <w:t>Not Reported in S.W.3d, 2017 WL 474058</w:t>
      </w:r>
    </w:p>
    <w:tbl>
      <w:tblPr>
        <w:tblW w:w="0" w:type="auto"/>
        <w:tblLayout w:type="fixed"/>
        <w:tblCellMar>
          <w:left w:w="0" w:type="dxa"/>
          <w:right w:w="0" w:type="dxa"/>
        </w:tblCellMar>
        <w:tblLook w:val="0000" w:firstRow="0" w:lastRow="0" w:firstColumn="0" w:lastColumn="0" w:noHBand="0" w:noVBand="0"/>
      </w:tblPr>
      <w:tblGrid>
        <w:gridCol w:w="600"/>
        <w:gridCol w:w="9480"/>
      </w:tblGrid>
      <w:tr w:rsidR="002C38CE" w:rsidRPr="002C38CE" w:rsidTr="00FB2A8B">
        <w:tc>
          <w:tcPr>
            <w:tcW w:w="10080" w:type="dxa"/>
            <w:gridSpan w:val="2"/>
            <w:tcBorders>
              <w:top w:val="nil"/>
              <w:left w:val="nil"/>
              <w:bottom w:val="nil"/>
              <w:right w:val="nil"/>
            </w:tcBorders>
            <w:tcMar>
              <w:top w:w="200" w:type="dxa"/>
            </w:tcMar>
          </w:tcPr>
          <w:p w:rsidR="002C38CE" w:rsidRPr="002C38CE" w:rsidRDefault="002C38CE" w:rsidP="002C38CE">
            <w:pPr>
              <w:spacing w:after="0"/>
            </w:pPr>
            <w:r w:rsidRPr="002C38CE">
              <w:t>Footnotes</w:t>
            </w:r>
          </w:p>
          <w:p w:rsidR="002C38CE" w:rsidRPr="002C38CE" w:rsidRDefault="002C38CE" w:rsidP="002C38CE">
            <w:pPr>
              <w:spacing w:after="0"/>
            </w:pPr>
          </w:p>
        </w:tc>
      </w:tr>
      <w:bookmarkStart w:id="49" w:name="co_footnote_B00012040882508_1"/>
      <w:bookmarkEnd w:id="49"/>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"#co_footnoteReference_B00012040882508_ID0" </w:instrText>
            </w:r>
            <w:r w:rsidRPr="002C38CE">
              <w:fldChar w:fldCharType="separate"/>
            </w:r>
            <w:r w:rsidRPr="002C38CE">
              <w:rPr>
                <w:rStyle w:val="Hyperlink"/>
                <w:vertAlign w:val="superscript"/>
              </w:rPr>
              <w:t>1</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2C38CE" w:rsidP="002C38CE">
            <w:pPr>
              <w:spacing w:after="0"/>
            </w:pPr>
            <w:r w:rsidRPr="002C38CE">
              <w:rPr>
                <w:i/>
                <w:iCs/>
              </w:rPr>
              <w:t>See</w:t>
            </w:r>
            <w:r w:rsidRPr="002C38CE">
              <w:t xml:space="preserve"> </w:t>
            </w:r>
            <w:hyperlink r:id="rId16" w:history="1">
              <w:r w:rsidRPr="002C38CE">
                <w:rPr>
                  <w:rStyle w:val="Hyperlink"/>
                </w:rPr>
                <w:t>Tex. Penal Code § 22.021</w:t>
              </w:r>
            </w:hyperlink>
            <w:r w:rsidRPr="002C38CE">
              <w:t>.</w:t>
            </w:r>
          </w:p>
          <w:p w:rsidR="002C38CE" w:rsidRPr="002C38CE" w:rsidRDefault="002C38CE" w:rsidP="002C38CE">
            <w:pPr>
              <w:spacing w:after="0"/>
            </w:pPr>
          </w:p>
        </w:tc>
      </w:tr>
      <w:bookmarkStart w:id="50" w:name="co_footnote_B00022040882508_1"/>
      <w:bookmarkEnd w:id="50"/>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"#co_footnoteReference_B00022040882508_ID0" </w:instrText>
            </w:r>
            <w:r w:rsidRPr="002C38CE">
              <w:fldChar w:fldCharType="separate"/>
            </w:r>
            <w:r w:rsidRPr="002C38CE">
              <w:rPr>
                <w:rStyle w:val="Hyperlink"/>
                <w:vertAlign w:val="superscript"/>
              </w:rPr>
              <w:t>2</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2C38CE" w:rsidP="002C38CE">
            <w:pPr>
              <w:spacing w:after="0"/>
            </w:pPr>
            <w:r w:rsidRPr="002C38CE">
              <w:rPr>
                <w:i/>
                <w:iCs/>
              </w:rPr>
              <w:lastRenderedPageBreak/>
              <w:t>See</w:t>
            </w:r>
            <w:r w:rsidRPr="002C38CE">
              <w:t xml:space="preserve"> </w:t>
            </w:r>
            <w:hyperlink r:id="rId17" w:history="1">
              <w:r w:rsidRPr="002C38CE">
                <w:rPr>
                  <w:rStyle w:val="Hyperlink"/>
                </w:rPr>
                <w:t>Tex. Code Crim. Proc. art. 37.07, § 3(g)</w:t>
              </w:r>
            </w:hyperlink>
            <w:r w:rsidRPr="002C38CE">
              <w:t>.</w:t>
            </w:r>
          </w:p>
          <w:p w:rsidR="002C38CE" w:rsidRPr="002C38CE" w:rsidRDefault="002C38CE" w:rsidP="002C38CE">
            <w:pPr>
              <w:spacing w:after="0"/>
            </w:pPr>
          </w:p>
        </w:tc>
      </w:tr>
      <w:bookmarkStart w:id="51" w:name="co_footnote_B00032040882508_1"/>
      <w:bookmarkEnd w:id="51"/>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lastRenderedPageBreak/>
              <w:fldChar w:fldCharType="begin"/>
            </w:r>
            <w:r w:rsidRPr="002C38CE">
              <w:instrText xml:space="preserve">HYPERLINK "#co_footnoteReference_B00032040882508_ID0" </w:instrText>
            </w:r>
            <w:r w:rsidRPr="002C38CE">
              <w:fldChar w:fldCharType="separate"/>
            </w:r>
            <w:r w:rsidRPr="002C38CE">
              <w:rPr>
                <w:rStyle w:val="Hyperlink"/>
                <w:vertAlign w:val="superscript"/>
              </w:rPr>
              <w:t>3</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2C38CE" w:rsidP="002C38CE">
            <w:pPr>
              <w:spacing w:after="0"/>
            </w:pPr>
            <w:r w:rsidRPr="002C38CE">
              <w:t>Rachel Smith is a pseudonym that has been used throughout these proceedings.</w:t>
            </w:r>
          </w:p>
          <w:p w:rsidR="002C38CE" w:rsidRPr="002C38CE" w:rsidRDefault="002C38CE" w:rsidP="002C38CE">
            <w:pPr>
              <w:spacing w:after="0"/>
            </w:pPr>
          </w:p>
        </w:tc>
      </w:tr>
      <w:bookmarkStart w:id="52" w:name="co_footnote_B00042040882508_1"/>
      <w:bookmarkEnd w:id="52"/>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"#co_footnoteReference_B00042040882508_ID0" </w:instrText>
            </w:r>
            <w:r w:rsidRPr="002C38CE">
              <w:fldChar w:fldCharType="separate"/>
            </w:r>
            <w:r w:rsidRPr="002C38CE">
              <w:rPr>
                <w:rStyle w:val="Hyperlink"/>
                <w:vertAlign w:val="superscript"/>
              </w:rPr>
              <w:t>4</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2C38CE" w:rsidP="002C38CE">
            <w:pPr>
              <w:spacing w:after="0"/>
            </w:pPr>
            <w:r w:rsidRPr="002C38CE">
              <w:t>The evidence also included testimony by Diana Morales, a DNA analyst for the Austin Police Department. No appellate complaint is raised regarding this evidence, nor have we considered it in our disposition of the points Adkins does raise.</w:t>
            </w:r>
          </w:p>
          <w:p w:rsidR="002C38CE" w:rsidRPr="002C38CE" w:rsidRDefault="002C38CE" w:rsidP="002C38CE">
            <w:pPr>
              <w:spacing w:after="0"/>
            </w:pPr>
          </w:p>
        </w:tc>
      </w:tr>
      <w:bookmarkStart w:id="53" w:name="co_footnote_B00052040882508_1"/>
      <w:bookmarkEnd w:id="53"/>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"#co_footnoteReference_B00052040882508_ID0" </w:instrText>
            </w:r>
            <w:r w:rsidRPr="002C38CE">
              <w:fldChar w:fldCharType="separate"/>
            </w:r>
            <w:r w:rsidRPr="002C38CE">
              <w:rPr>
                <w:rStyle w:val="Hyperlink"/>
                <w:vertAlign w:val="superscript"/>
              </w:rPr>
              <w:t>5</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85284B" w:rsidP="002C38CE">
            <w:pPr>
              <w:spacing w:after="0"/>
            </w:pPr>
            <w:hyperlink r:id="rId18" w:anchor="co_pp_sp_4644_732" w:history="1">
              <w:r w:rsidR="002C38CE" w:rsidRPr="002C38CE">
                <w:rPr>
                  <w:rStyle w:val="Hyperlink"/>
                  <w:i/>
                  <w:iCs/>
                </w:rPr>
                <w:t>State v. Story</w:t>
              </w:r>
              <w:r w:rsidR="002C38CE" w:rsidRPr="002C38CE">
                <w:rPr>
                  <w:rStyle w:val="Hyperlink"/>
                </w:rPr>
                <w:t>, 445 S.W.3d 729, 732 (Tex. Crim. App. 2014)</w:t>
              </w:r>
            </w:hyperlink>
            <w:r w:rsidR="002C38CE" w:rsidRPr="002C38CE">
              <w:t xml:space="preserve"> (citing </w:t>
            </w:r>
            <w:hyperlink r:id="rId19" w:anchor="co_pp_sp_4644_590" w:history="1">
              <w:r w:rsidR="002C38CE" w:rsidRPr="002C38CE">
                <w:rPr>
                  <w:rStyle w:val="Hyperlink"/>
                  <w:i/>
                  <w:iCs/>
                </w:rPr>
                <w:t>State v. Dixon</w:t>
              </w:r>
              <w:r w:rsidR="002C38CE" w:rsidRPr="002C38CE">
                <w:rPr>
                  <w:rStyle w:val="Hyperlink"/>
                </w:rPr>
                <w:t>, 206 S.W.3d 587, 590 (Tex. Crim. App. 2006)</w:t>
              </w:r>
            </w:hyperlink>
            <w:r w:rsidR="002C38CE" w:rsidRPr="002C38CE">
              <w:t xml:space="preserve">); </w:t>
            </w:r>
            <w:hyperlink r:id="rId20" w:anchor="co_pp_sp_4644_435" w:history="1">
              <w:r w:rsidR="002C38CE" w:rsidRPr="002C38CE">
                <w:rPr>
                  <w:rStyle w:val="Hyperlink"/>
                  <w:i/>
                  <w:iCs/>
                </w:rPr>
                <w:t>Tillman v. State</w:t>
              </w:r>
              <w:r w:rsidR="002C38CE" w:rsidRPr="002C38CE">
                <w:rPr>
                  <w:rStyle w:val="Hyperlink"/>
                </w:rPr>
                <w:t>, 354 S.W.3d 425, 435 (Tex. Crim. App. 2011)</w:t>
              </w:r>
            </w:hyperlink>
            <w:r w:rsidR="002C38CE" w:rsidRPr="002C38CE">
              <w:t>.</w:t>
            </w:r>
          </w:p>
          <w:p w:rsidR="002C38CE" w:rsidRPr="002C38CE" w:rsidRDefault="002C38CE" w:rsidP="002C38CE">
            <w:pPr>
              <w:spacing w:after="0"/>
            </w:pPr>
          </w:p>
        </w:tc>
      </w:tr>
      <w:bookmarkStart w:id="54" w:name="co_footnote_B00062040882508_1"/>
      <w:bookmarkEnd w:id="54"/>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"#co_footnoteReference_B00062040882508_ID0" </w:instrText>
            </w:r>
            <w:r w:rsidRPr="002C38CE">
              <w:fldChar w:fldCharType="separate"/>
            </w:r>
            <w:r w:rsidRPr="002C38CE">
              <w:rPr>
                <w:rStyle w:val="Hyperlink"/>
                <w:vertAlign w:val="superscript"/>
              </w:rPr>
              <w:t>6</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85284B" w:rsidP="002C38CE">
            <w:pPr>
              <w:spacing w:after="0"/>
            </w:pPr>
            <w:hyperlink r:id="rId21" w:anchor="co_pp_sp_4644_732" w:history="1">
              <w:r w:rsidR="002C38CE" w:rsidRPr="002C38CE">
                <w:rPr>
                  <w:rStyle w:val="Hyperlink"/>
                  <w:i/>
                  <w:iCs/>
                </w:rPr>
                <w:t>Story</w:t>
              </w:r>
              <w:r w:rsidR="002C38CE" w:rsidRPr="002C38CE">
                <w:rPr>
                  <w:rStyle w:val="Hyperlink"/>
                </w:rPr>
                <w:t>, 445 S.W.3d at 732</w:t>
              </w:r>
            </w:hyperlink>
            <w:r w:rsidR="002C38CE" w:rsidRPr="002C38CE">
              <w:t xml:space="preserve"> (quoting </w:t>
            </w:r>
            <w:hyperlink r:id="rId22" w:anchor="co_pp_sp_4644_590" w:history="1">
              <w:r w:rsidR="002C38CE" w:rsidRPr="002C38CE">
                <w:rPr>
                  <w:rStyle w:val="Hyperlink"/>
                  <w:i/>
                  <w:iCs/>
                </w:rPr>
                <w:t>Dixon</w:t>
              </w:r>
              <w:r w:rsidR="002C38CE" w:rsidRPr="002C38CE">
                <w:rPr>
                  <w:rStyle w:val="Hyperlink"/>
                </w:rPr>
                <w:t>, 206 S.W.3d at 590</w:t>
              </w:r>
            </w:hyperlink>
            <w:r w:rsidR="002C38CE" w:rsidRPr="002C38CE">
              <w:t xml:space="preserve">); </w:t>
            </w:r>
            <w:r w:rsidR="002C38CE" w:rsidRPr="002C38CE">
              <w:rPr>
                <w:i/>
                <w:iCs/>
              </w:rPr>
              <w:t xml:space="preserve">see </w:t>
            </w:r>
            <w:hyperlink r:id="rId23" w:anchor="co_pp_sp_713_391" w:history="1">
              <w:r w:rsidR="002C38CE" w:rsidRPr="002C38CE">
                <w:rPr>
                  <w:rStyle w:val="Hyperlink"/>
                  <w:i/>
                  <w:iCs/>
                </w:rPr>
                <w:t>Montgomery v. State</w:t>
              </w:r>
              <w:r w:rsidR="002C38CE" w:rsidRPr="002C38CE">
                <w:rPr>
                  <w:rStyle w:val="Hyperlink"/>
                </w:rPr>
                <w:t>, 810 S.W.2d 372, 391-92 (Tex. Crim. App. 1991)</w:t>
              </w:r>
            </w:hyperlink>
            <w:r w:rsidR="002C38CE" w:rsidRPr="002C38CE">
              <w:t xml:space="preserve"> (op. on </w:t>
            </w:r>
            <w:proofErr w:type="spellStart"/>
            <w:r w:rsidR="002C38CE" w:rsidRPr="002C38CE">
              <w:t>reh’g</w:t>
            </w:r>
            <w:proofErr w:type="spellEnd"/>
            <w:r w:rsidR="002C38CE" w:rsidRPr="002C38CE">
              <w:t>).</w:t>
            </w:r>
          </w:p>
          <w:p w:rsidR="002C38CE" w:rsidRPr="002C38CE" w:rsidRDefault="002C38CE" w:rsidP="002C38CE">
            <w:pPr>
              <w:spacing w:after="0"/>
            </w:pPr>
          </w:p>
        </w:tc>
      </w:tr>
      <w:bookmarkStart w:id="55" w:name="co_footnote_B00072040882508_1"/>
      <w:bookmarkEnd w:id="55"/>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"#co_footnoteReference_B00072040882508_ID0" </w:instrText>
            </w:r>
            <w:r w:rsidRPr="002C38CE">
              <w:fldChar w:fldCharType="separate"/>
            </w:r>
            <w:r w:rsidRPr="002C38CE">
              <w:rPr>
                <w:rStyle w:val="Hyperlink"/>
                <w:vertAlign w:val="superscript"/>
              </w:rPr>
              <w:t>7</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85284B" w:rsidP="002C38CE">
            <w:pPr>
              <w:spacing w:after="0"/>
            </w:pPr>
            <w:hyperlink r:id="rId24" w:anchor="co_pp_sp_4644_39" w:history="1">
              <w:proofErr w:type="spellStart"/>
              <w:r w:rsidR="002C38CE" w:rsidRPr="002C38CE">
                <w:rPr>
                  <w:rStyle w:val="Hyperlink"/>
                  <w:i/>
                  <w:iCs/>
                </w:rPr>
                <w:t>Billodeau</w:t>
              </w:r>
              <w:proofErr w:type="spellEnd"/>
              <w:r w:rsidR="002C38CE" w:rsidRPr="002C38CE">
                <w:rPr>
                  <w:rStyle w:val="Hyperlink"/>
                  <w:i/>
                  <w:iCs/>
                </w:rPr>
                <w:t xml:space="preserve"> v. State</w:t>
              </w:r>
              <w:r w:rsidR="002C38CE" w:rsidRPr="002C38CE">
                <w:rPr>
                  <w:rStyle w:val="Hyperlink"/>
                </w:rPr>
                <w:t>, 277 S.W.3d 34, 39 (Tex. Crim. App. 2009)</w:t>
              </w:r>
            </w:hyperlink>
            <w:r w:rsidR="002C38CE" w:rsidRPr="002C38CE">
              <w:t>.</w:t>
            </w:r>
          </w:p>
          <w:p w:rsidR="002C38CE" w:rsidRPr="002C38CE" w:rsidRDefault="002C38CE" w:rsidP="002C38CE">
            <w:pPr>
              <w:spacing w:after="0"/>
            </w:pPr>
          </w:p>
        </w:tc>
      </w:tr>
      <w:bookmarkStart w:id="56" w:name="co_footnote_B00082040882508_1"/>
      <w:bookmarkEnd w:id="56"/>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"#co_footnoteReference_B00082040882508_ID0" </w:instrText>
            </w:r>
            <w:r w:rsidRPr="002C38CE">
              <w:fldChar w:fldCharType="separate"/>
            </w:r>
            <w:r w:rsidRPr="002C38CE">
              <w:rPr>
                <w:rStyle w:val="Hyperlink"/>
                <w:vertAlign w:val="superscript"/>
              </w:rPr>
              <w:t>8</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85284B" w:rsidP="002C38CE">
            <w:pPr>
              <w:spacing w:after="0"/>
            </w:pPr>
            <w:hyperlink r:id="rId25" w:anchor="co_pp_sp_4644_590" w:history="1">
              <w:r w:rsidR="002C38CE" w:rsidRPr="002C38CE">
                <w:rPr>
                  <w:rStyle w:val="Hyperlink"/>
                  <w:i/>
                  <w:iCs/>
                </w:rPr>
                <w:t>Dixon</w:t>
              </w:r>
              <w:r w:rsidR="002C38CE" w:rsidRPr="002C38CE">
                <w:rPr>
                  <w:rStyle w:val="Hyperlink"/>
                </w:rPr>
                <w:t>, 206 S.W.3d at 590</w:t>
              </w:r>
            </w:hyperlink>
            <w:r w:rsidR="002C38CE" w:rsidRPr="002C38CE">
              <w:t xml:space="preserve"> (citing </w:t>
            </w:r>
            <w:hyperlink r:id="rId26" w:anchor="co_pp_sp_713_543" w:history="1">
              <w:r w:rsidR="002C38CE" w:rsidRPr="002C38CE">
                <w:rPr>
                  <w:rStyle w:val="Hyperlink"/>
                  <w:i/>
                  <w:iCs/>
                </w:rPr>
                <w:t>Romero v. State</w:t>
              </w:r>
              <w:r w:rsidR="002C38CE" w:rsidRPr="002C38CE">
                <w:rPr>
                  <w:rStyle w:val="Hyperlink"/>
                </w:rPr>
                <w:t>, 800 S.W.2d 539, 543 (Tex. Crim. App. 1990)</w:t>
              </w:r>
            </w:hyperlink>
            <w:r w:rsidR="002C38CE" w:rsidRPr="002C38CE">
              <w:t xml:space="preserve">); </w:t>
            </w:r>
            <w:r w:rsidR="002C38CE" w:rsidRPr="002C38CE">
              <w:rPr>
                <w:i/>
                <w:iCs/>
              </w:rPr>
              <w:t xml:space="preserve">see </w:t>
            </w:r>
            <w:hyperlink r:id="rId27" w:anchor="co_pp_sp_4644_448" w:history="1">
              <w:proofErr w:type="spellStart"/>
              <w:r w:rsidR="002C38CE" w:rsidRPr="002C38CE">
                <w:rPr>
                  <w:rStyle w:val="Hyperlink"/>
                  <w:i/>
                  <w:iCs/>
                </w:rPr>
                <w:t>Valtierra</w:t>
              </w:r>
              <w:proofErr w:type="spellEnd"/>
              <w:r w:rsidR="002C38CE" w:rsidRPr="002C38CE">
                <w:rPr>
                  <w:rStyle w:val="Hyperlink"/>
                  <w:i/>
                  <w:iCs/>
                </w:rPr>
                <w:t xml:space="preserve"> v. State</w:t>
              </w:r>
              <w:r w:rsidR="002C38CE" w:rsidRPr="002C38CE">
                <w:rPr>
                  <w:rStyle w:val="Hyperlink"/>
                </w:rPr>
                <w:t>, 310 S.W.3d 442, 448 (Tex. Crim. App. 2010)</w:t>
              </w:r>
            </w:hyperlink>
            <w:r w:rsidR="002C38CE" w:rsidRPr="002C38CE">
              <w:t>.</w:t>
            </w:r>
          </w:p>
          <w:p w:rsidR="002C38CE" w:rsidRPr="002C38CE" w:rsidRDefault="002C38CE" w:rsidP="002C38CE">
            <w:pPr>
              <w:spacing w:after="0"/>
            </w:pPr>
          </w:p>
        </w:tc>
      </w:tr>
      <w:bookmarkStart w:id="57" w:name="co_footnote_B00092040882508_1"/>
      <w:bookmarkEnd w:id="57"/>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"#co_footnoteReference_B00092040882508_ID0" </w:instrText>
            </w:r>
            <w:r w:rsidRPr="002C38CE">
              <w:fldChar w:fldCharType="separate"/>
            </w:r>
            <w:r w:rsidRPr="002C38CE">
              <w:rPr>
                <w:rStyle w:val="Hyperlink"/>
                <w:vertAlign w:val="superscript"/>
              </w:rPr>
              <w:t>9</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2C38CE" w:rsidP="002C38CE">
            <w:pPr>
              <w:spacing w:after="0"/>
            </w:pPr>
            <w:r w:rsidRPr="002C38CE">
              <w:t xml:space="preserve">The recording also contained Kemp’s statements to Boyd and numerous statements made by Smith describing the assault. However, the State agreed not to play the portion of the recording that contained Kemp’s statements, and the district court apparently admitted Smith’s statements under the “excited utterance” exception to the hearsay rule, </w:t>
            </w:r>
            <w:r w:rsidRPr="002C38CE">
              <w:rPr>
                <w:i/>
                <w:iCs/>
              </w:rPr>
              <w:t>see</w:t>
            </w:r>
            <w:r w:rsidRPr="002C38CE">
              <w:t xml:space="preserve"> </w:t>
            </w:r>
            <w:hyperlink r:id="rId28" w:history="1">
              <w:r w:rsidRPr="002C38CE">
                <w:rPr>
                  <w:rStyle w:val="Hyperlink"/>
                </w:rPr>
                <w:t xml:space="preserve">Tex. R. </w:t>
              </w:r>
              <w:proofErr w:type="spellStart"/>
              <w:r w:rsidRPr="002C38CE">
                <w:rPr>
                  <w:rStyle w:val="Hyperlink"/>
                </w:rPr>
                <w:t>Evid</w:t>
              </w:r>
              <w:proofErr w:type="spellEnd"/>
              <w:r w:rsidRPr="002C38CE">
                <w:rPr>
                  <w:rStyle w:val="Hyperlink"/>
                </w:rPr>
                <w:t>. 803(2)</w:t>
              </w:r>
            </w:hyperlink>
            <w:r w:rsidRPr="002C38CE">
              <w:t>, a ruling that Adkins does not challenge on appeal. Accordingly, Adkins notes in his brief that this point of error is limited to “the hearsay statements by Boyd.”</w:t>
            </w:r>
          </w:p>
          <w:p w:rsidR="002C38CE" w:rsidRPr="002C38CE" w:rsidRDefault="002C38CE" w:rsidP="002C38CE">
            <w:pPr>
              <w:spacing w:after="0"/>
            </w:pPr>
          </w:p>
        </w:tc>
      </w:tr>
      <w:bookmarkStart w:id="58" w:name="co_footnote_B00102040882508_1"/>
      <w:bookmarkEnd w:id="58"/>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"#co_footnoteReference_B00102040882508_ID0" </w:instrText>
            </w:r>
            <w:r w:rsidRPr="002C38CE">
              <w:fldChar w:fldCharType="separate"/>
            </w:r>
            <w:r w:rsidRPr="002C38CE">
              <w:rPr>
                <w:rStyle w:val="Hyperlink"/>
                <w:vertAlign w:val="superscript"/>
              </w:rPr>
              <w:t>10</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85284B" w:rsidP="002C38CE">
            <w:pPr>
              <w:spacing w:after="0"/>
            </w:pPr>
            <w:hyperlink r:id="rId29" w:history="1">
              <w:r w:rsidR="002C38CE" w:rsidRPr="002C38CE">
                <w:rPr>
                  <w:rStyle w:val="Hyperlink"/>
                </w:rPr>
                <w:t xml:space="preserve">Tex. R. </w:t>
              </w:r>
              <w:proofErr w:type="spellStart"/>
              <w:r w:rsidR="002C38CE" w:rsidRPr="002C38CE">
                <w:rPr>
                  <w:rStyle w:val="Hyperlink"/>
                </w:rPr>
                <w:t>Evid</w:t>
              </w:r>
              <w:proofErr w:type="spellEnd"/>
              <w:r w:rsidR="002C38CE" w:rsidRPr="002C38CE">
                <w:rPr>
                  <w:rStyle w:val="Hyperlink"/>
                </w:rPr>
                <w:t>. 801(d)</w:t>
              </w:r>
            </w:hyperlink>
            <w:r w:rsidR="002C38CE" w:rsidRPr="002C38CE">
              <w:t>.</w:t>
            </w:r>
          </w:p>
          <w:p w:rsidR="002C38CE" w:rsidRPr="002C38CE" w:rsidRDefault="002C38CE" w:rsidP="002C38CE">
            <w:pPr>
              <w:spacing w:after="0"/>
            </w:pPr>
          </w:p>
        </w:tc>
      </w:tr>
      <w:bookmarkStart w:id="59" w:name="co_footnote_B00112040882508_1"/>
      <w:bookmarkEnd w:id="59"/>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"#co_footnoteReference_B00112040882508_ID0" </w:instrText>
            </w:r>
            <w:r w:rsidRPr="002C38CE">
              <w:fldChar w:fldCharType="separate"/>
            </w:r>
            <w:r w:rsidRPr="002C38CE">
              <w:rPr>
                <w:rStyle w:val="Hyperlink"/>
                <w:vertAlign w:val="superscript"/>
              </w:rPr>
              <w:t>11</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2C38CE" w:rsidP="002C38CE">
            <w:pPr>
              <w:spacing w:after="0"/>
            </w:pPr>
            <w:r w:rsidRPr="002C38CE">
              <w:rPr>
                <w:i/>
                <w:iCs/>
              </w:rPr>
              <w:t>See</w:t>
            </w:r>
            <w:r w:rsidRPr="002C38CE">
              <w:t xml:space="preserve"> </w:t>
            </w:r>
            <w:hyperlink r:id="rId30" w:history="1">
              <w:r w:rsidRPr="002C38CE">
                <w:rPr>
                  <w:rStyle w:val="Hyperlink"/>
                </w:rPr>
                <w:t xml:space="preserve">Tex. R. </w:t>
              </w:r>
              <w:proofErr w:type="spellStart"/>
              <w:r w:rsidRPr="002C38CE">
                <w:rPr>
                  <w:rStyle w:val="Hyperlink"/>
                </w:rPr>
                <w:t>Evid</w:t>
              </w:r>
              <w:proofErr w:type="spellEnd"/>
              <w:r w:rsidRPr="002C38CE">
                <w:rPr>
                  <w:rStyle w:val="Hyperlink"/>
                </w:rPr>
                <w:t>. 803(8)</w:t>
              </w:r>
            </w:hyperlink>
            <w:r w:rsidRPr="002C38CE">
              <w:t xml:space="preserve">; </w:t>
            </w:r>
            <w:hyperlink r:id="rId31" w:anchor="co_pp_sp_4644_384" w:history="1">
              <w:r w:rsidRPr="002C38CE">
                <w:rPr>
                  <w:rStyle w:val="Hyperlink"/>
                  <w:i/>
                  <w:iCs/>
                </w:rPr>
                <w:t>Fischer v. State</w:t>
              </w:r>
              <w:r w:rsidRPr="002C38CE">
                <w:rPr>
                  <w:rStyle w:val="Hyperlink"/>
                </w:rPr>
                <w:t>, 252 S.W.3d 375, 384-85 (Tex. Crim. App. 2008)</w:t>
              </w:r>
            </w:hyperlink>
            <w:r w:rsidRPr="002C38CE">
              <w:t>.</w:t>
            </w:r>
          </w:p>
          <w:p w:rsidR="002C38CE" w:rsidRPr="002C38CE" w:rsidRDefault="002C38CE" w:rsidP="002C38CE">
            <w:pPr>
              <w:spacing w:after="0"/>
            </w:pPr>
          </w:p>
        </w:tc>
      </w:tr>
      <w:bookmarkStart w:id="60" w:name="co_footnote_B00122040882508_1"/>
      <w:bookmarkEnd w:id="60"/>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"#co_footnoteReference_B00122040882508_ID0" </w:instrText>
            </w:r>
            <w:r w:rsidRPr="002C38CE">
              <w:fldChar w:fldCharType="separate"/>
            </w:r>
            <w:r w:rsidRPr="002C38CE">
              <w:rPr>
                <w:rStyle w:val="Hyperlink"/>
                <w:vertAlign w:val="superscript"/>
              </w:rPr>
              <w:t>12</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85284B" w:rsidP="002C38CE">
            <w:pPr>
              <w:spacing w:after="0"/>
            </w:pPr>
            <w:hyperlink r:id="rId32" w:anchor="co_pp_sp_4644_376" w:history="1">
              <w:r w:rsidR="002C38CE" w:rsidRPr="002C38CE">
                <w:rPr>
                  <w:rStyle w:val="Hyperlink"/>
                  <w:i/>
                  <w:iCs/>
                </w:rPr>
                <w:t>Fischer</w:t>
              </w:r>
              <w:r w:rsidR="002C38CE" w:rsidRPr="002C38CE">
                <w:rPr>
                  <w:rStyle w:val="Hyperlink"/>
                </w:rPr>
                <w:t xml:space="preserve">, </w:t>
              </w:r>
              <w:proofErr w:type="gramStart"/>
              <w:r w:rsidR="002C38CE" w:rsidRPr="002C38CE">
                <w:rPr>
                  <w:rStyle w:val="Hyperlink"/>
                </w:rPr>
                <w:t>252 S.W.3d at 376</w:t>
              </w:r>
              <w:proofErr w:type="gramEnd"/>
            </w:hyperlink>
            <w:r w:rsidR="002C38CE" w:rsidRPr="002C38CE">
              <w:t>.</w:t>
            </w:r>
          </w:p>
          <w:p w:rsidR="002C38CE" w:rsidRPr="002C38CE" w:rsidRDefault="002C38CE" w:rsidP="002C38CE">
            <w:pPr>
              <w:spacing w:after="0"/>
            </w:pPr>
          </w:p>
        </w:tc>
      </w:tr>
      <w:bookmarkStart w:id="61" w:name="co_footnote_B00132040882508_1"/>
      <w:bookmarkEnd w:id="61"/>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"#co_footnoteReference_B00132040882508_ID0" </w:instrText>
            </w:r>
            <w:r w:rsidRPr="002C38CE">
              <w:fldChar w:fldCharType="separate"/>
            </w:r>
            <w:r w:rsidRPr="002C38CE">
              <w:rPr>
                <w:rStyle w:val="Hyperlink"/>
                <w:vertAlign w:val="superscript"/>
              </w:rPr>
              <w:t>13</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2C38CE" w:rsidP="002C38CE">
            <w:pPr>
              <w:spacing w:after="0"/>
            </w:pPr>
            <w:r w:rsidRPr="002C38CE">
              <w:rPr>
                <w:i/>
                <w:iCs/>
              </w:rPr>
              <w:t>Id</w:t>
            </w:r>
            <w:r w:rsidRPr="002C38CE">
              <w:t>. at 384.</w:t>
            </w:r>
          </w:p>
          <w:p w:rsidR="002C38CE" w:rsidRPr="002C38CE" w:rsidRDefault="002C38CE" w:rsidP="002C38CE">
            <w:pPr>
              <w:spacing w:after="0"/>
            </w:pPr>
          </w:p>
        </w:tc>
      </w:tr>
      <w:bookmarkStart w:id="62" w:name="co_footnote_B00142040882508_1"/>
      <w:bookmarkEnd w:id="62"/>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"#co_footnoteReference_B00142040882508_ID0" </w:instrText>
            </w:r>
            <w:r w:rsidRPr="002C38CE">
              <w:fldChar w:fldCharType="separate"/>
            </w:r>
            <w:r w:rsidRPr="002C38CE">
              <w:rPr>
                <w:rStyle w:val="Hyperlink"/>
                <w:vertAlign w:val="superscript"/>
              </w:rPr>
              <w:t>14</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2C38CE" w:rsidP="002C38CE">
            <w:pPr>
              <w:spacing w:after="0"/>
            </w:pPr>
            <w:r w:rsidRPr="002C38CE">
              <w:rPr>
                <w:i/>
                <w:iCs/>
              </w:rPr>
              <w:t>Id</w:t>
            </w:r>
            <w:r w:rsidRPr="002C38CE">
              <w:t>. at 387.</w:t>
            </w:r>
          </w:p>
          <w:p w:rsidR="002C38CE" w:rsidRPr="002C38CE" w:rsidRDefault="002C38CE" w:rsidP="002C38CE">
            <w:pPr>
              <w:spacing w:after="0"/>
            </w:pPr>
          </w:p>
        </w:tc>
      </w:tr>
      <w:bookmarkStart w:id="63" w:name="co_footnote_B00152040882508_1"/>
      <w:bookmarkEnd w:id="63"/>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"#co_footnoteReference_B00152040882508_ID0" </w:instrText>
            </w:r>
            <w:r w:rsidRPr="002C38CE">
              <w:fldChar w:fldCharType="separate"/>
            </w:r>
            <w:r w:rsidRPr="002C38CE">
              <w:rPr>
                <w:rStyle w:val="Hyperlink"/>
                <w:vertAlign w:val="superscript"/>
              </w:rPr>
              <w:t>15</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85284B" w:rsidP="002C38CE">
            <w:pPr>
              <w:spacing w:after="0"/>
            </w:pPr>
            <w:hyperlink r:id="rId33" w:history="1">
              <w:r w:rsidR="002C38CE" w:rsidRPr="002C38CE">
                <w:rPr>
                  <w:rStyle w:val="Hyperlink"/>
                </w:rPr>
                <w:t>Tex. R. App. P. 44.2(b)</w:t>
              </w:r>
            </w:hyperlink>
            <w:r w:rsidR="002C38CE" w:rsidRPr="002C38CE">
              <w:t>.</w:t>
            </w:r>
          </w:p>
          <w:p w:rsidR="002C38CE" w:rsidRPr="002C38CE" w:rsidRDefault="002C38CE" w:rsidP="002C38CE">
            <w:pPr>
              <w:spacing w:after="0"/>
            </w:pPr>
          </w:p>
        </w:tc>
      </w:tr>
      <w:bookmarkStart w:id="64" w:name="co_footnote_B00162040882508_1"/>
      <w:bookmarkEnd w:id="64"/>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"#co_footnoteReference_B00162040882508_ID0" </w:instrText>
            </w:r>
            <w:r w:rsidRPr="002C38CE">
              <w:fldChar w:fldCharType="separate"/>
            </w:r>
            <w:r w:rsidRPr="002C38CE">
              <w:rPr>
                <w:rStyle w:val="Hyperlink"/>
                <w:vertAlign w:val="superscript"/>
              </w:rPr>
              <w:t>16</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85284B" w:rsidP="002C38CE">
            <w:pPr>
              <w:spacing w:after="0"/>
            </w:pPr>
            <w:hyperlink r:id="rId34" w:anchor="co_pp_sp_713_271" w:history="1">
              <w:r w:rsidR="002C38CE" w:rsidRPr="002C38CE">
                <w:rPr>
                  <w:rStyle w:val="Hyperlink"/>
                  <w:i/>
                  <w:iCs/>
                </w:rPr>
                <w:t>King v. State</w:t>
              </w:r>
              <w:r w:rsidR="002C38CE" w:rsidRPr="002C38CE">
                <w:rPr>
                  <w:rStyle w:val="Hyperlink"/>
                </w:rPr>
                <w:t>, 953 S.W.2d 266, 271 (Tex. Crim. App. 1997)</w:t>
              </w:r>
            </w:hyperlink>
            <w:r w:rsidR="002C38CE" w:rsidRPr="002C38CE">
              <w:t xml:space="preserve"> (citing </w:t>
            </w:r>
            <w:hyperlink r:id="rId35" w:anchor="co_pp_sp_780_776" w:history="1">
              <w:proofErr w:type="spellStart"/>
              <w:r w:rsidR="002C38CE" w:rsidRPr="002C38CE">
                <w:rPr>
                  <w:rStyle w:val="Hyperlink"/>
                  <w:i/>
                  <w:iCs/>
                </w:rPr>
                <w:t>Kotteakos</w:t>
              </w:r>
              <w:proofErr w:type="spellEnd"/>
              <w:r w:rsidR="002C38CE" w:rsidRPr="002C38CE">
                <w:rPr>
                  <w:rStyle w:val="Hyperlink"/>
                  <w:i/>
                  <w:iCs/>
                </w:rPr>
                <w:t xml:space="preserve"> v. United State</w:t>
              </w:r>
              <w:r w:rsidR="002C38CE" w:rsidRPr="002C38CE">
                <w:rPr>
                  <w:rStyle w:val="Hyperlink"/>
                </w:rPr>
                <w:t>, 328 U.S. 750, 776 (1946)</w:t>
              </w:r>
            </w:hyperlink>
            <w:r w:rsidR="002C38CE" w:rsidRPr="002C38CE">
              <w:t>).</w:t>
            </w:r>
          </w:p>
          <w:p w:rsidR="002C38CE" w:rsidRPr="002C38CE" w:rsidRDefault="002C38CE" w:rsidP="002C38CE">
            <w:pPr>
              <w:spacing w:after="0"/>
            </w:pPr>
          </w:p>
        </w:tc>
      </w:tr>
      <w:bookmarkStart w:id="65" w:name="co_footnote_B00172040882508_1"/>
      <w:bookmarkEnd w:id="65"/>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lastRenderedPageBreak/>
              <w:fldChar w:fldCharType="begin"/>
            </w:r>
            <w:r w:rsidRPr="002C38CE">
              <w:instrText xml:space="preserve">HYPERLINK "#co_footnoteReference_B00172040882508_ID0" </w:instrText>
            </w:r>
            <w:r w:rsidRPr="002C38CE">
              <w:fldChar w:fldCharType="separate"/>
            </w:r>
            <w:r w:rsidRPr="002C38CE">
              <w:rPr>
                <w:rStyle w:val="Hyperlink"/>
                <w:vertAlign w:val="superscript"/>
              </w:rPr>
              <w:t>17</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85284B" w:rsidP="002C38CE">
            <w:pPr>
              <w:spacing w:after="0"/>
            </w:pPr>
            <w:hyperlink r:id="rId36" w:anchor="co_pp_sp_713_417" w:history="1">
              <w:r w:rsidR="002C38CE" w:rsidRPr="002C38CE">
                <w:rPr>
                  <w:rStyle w:val="Hyperlink"/>
                  <w:i/>
                  <w:iCs/>
                </w:rPr>
                <w:t>Johnson v. State</w:t>
              </w:r>
              <w:r w:rsidR="002C38CE" w:rsidRPr="002C38CE">
                <w:rPr>
                  <w:rStyle w:val="Hyperlink"/>
                </w:rPr>
                <w:t>, 967 S.W.2d 410, 417 (Tex. Crim. App. 1998)</w:t>
              </w:r>
            </w:hyperlink>
            <w:r w:rsidR="002C38CE" w:rsidRPr="002C38CE">
              <w:t>.</w:t>
            </w:r>
          </w:p>
          <w:p w:rsidR="002C38CE" w:rsidRPr="002C38CE" w:rsidRDefault="002C38CE" w:rsidP="002C38CE">
            <w:pPr>
              <w:spacing w:after="0"/>
            </w:pPr>
          </w:p>
        </w:tc>
      </w:tr>
      <w:bookmarkStart w:id="66" w:name="co_footnote_B00182040882508_1"/>
      <w:bookmarkEnd w:id="66"/>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"#co_footnoteReference_B00182040882508_ID0" </w:instrText>
            </w:r>
            <w:r w:rsidRPr="002C38CE">
              <w:fldChar w:fldCharType="separate"/>
            </w:r>
            <w:r w:rsidRPr="002C38CE">
              <w:rPr>
                <w:rStyle w:val="Hyperlink"/>
                <w:vertAlign w:val="superscript"/>
              </w:rPr>
              <w:t>18</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85284B" w:rsidP="002C38CE">
            <w:pPr>
              <w:spacing w:after="0"/>
            </w:pPr>
            <w:hyperlink r:id="rId37" w:anchor="co_pp_sp_713_88" w:history="1">
              <w:r w:rsidR="002C38CE" w:rsidRPr="002C38CE">
                <w:rPr>
                  <w:rStyle w:val="Hyperlink"/>
                  <w:i/>
                  <w:iCs/>
                </w:rPr>
                <w:t>Mayes v. State</w:t>
              </w:r>
              <w:r w:rsidR="002C38CE" w:rsidRPr="002C38CE">
                <w:rPr>
                  <w:rStyle w:val="Hyperlink"/>
                </w:rPr>
                <w:t>, 816 S.W.2d 79, 88 (Tex. Crim. App. 1991)</w:t>
              </w:r>
            </w:hyperlink>
            <w:r w:rsidR="002C38CE" w:rsidRPr="002C38CE">
              <w:t xml:space="preserve">; </w:t>
            </w:r>
            <w:hyperlink r:id="rId38" w:anchor="co_pp_sp_713_628" w:history="1">
              <w:r w:rsidR="002C38CE" w:rsidRPr="002C38CE">
                <w:rPr>
                  <w:rStyle w:val="Hyperlink"/>
                  <w:i/>
                  <w:iCs/>
                </w:rPr>
                <w:t>Anderson v. State</w:t>
              </w:r>
              <w:r w:rsidR="002C38CE" w:rsidRPr="002C38CE">
                <w:rPr>
                  <w:rStyle w:val="Hyperlink"/>
                </w:rPr>
                <w:t>, 717 S.W.2d 622, 628 (Tex. Crim. App. 1986)</w:t>
              </w:r>
            </w:hyperlink>
            <w:r w:rsidR="002C38CE" w:rsidRPr="002C38CE">
              <w:t xml:space="preserve">; </w:t>
            </w:r>
            <w:r w:rsidR="002C38CE" w:rsidRPr="002C38CE">
              <w:rPr>
                <w:i/>
                <w:iCs/>
              </w:rPr>
              <w:t xml:space="preserve">see </w:t>
            </w:r>
            <w:hyperlink r:id="rId39" w:anchor="co_pp_sp_713_287" w:history="1">
              <w:r w:rsidR="002C38CE" w:rsidRPr="002C38CE">
                <w:rPr>
                  <w:rStyle w:val="Hyperlink"/>
                  <w:i/>
                  <w:iCs/>
                </w:rPr>
                <w:t>Brooks v. State</w:t>
              </w:r>
              <w:r w:rsidR="002C38CE" w:rsidRPr="002C38CE">
                <w:rPr>
                  <w:rStyle w:val="Hyperlink"/>
                </w:rPr>
                <w:t>, 990 S.W.2d 278, 287 (Tex. Crim. App. 1999)</w:t>
              </w:r>
            </w:hyperlink>
            <w:r w:rsidR="002C38CE" w:rsidRPr="002C38CE">
              <w:t xml:space="preserve">; </w:t>
            </w:r>
            <w:hyperlink r:id="rId40" w:anchor="co_pp_sp_4644_28" w:history="1">
              <w:r w:rsidR="002C38CE" w:rsidRPr="002C38CE">
                <w:rPr>
                  <w:rStyle w:val="Hyperlink"/>
                  <w:i/>
                  <w:iCs/>
                </w:rPr>
                <w:t>Land v. State</w:t>
              </w:r>
              <w:r w:rsidR="002C38CE" w:rsidRPr="002C38CE">
                <w:rPr>
                  <w:rStyle w:val="Hyperlink"/>
                </w:rPr>
                <w:t xml:space="preserve">, 291 S.W.3d 23, 28-31 (Tex. App.—Texarkana 2009, pet. </w:t>
              </w:r>
              <w:proofErr w:type="spellStart"/>
              <w:r w:rsidR="002C38CE" w:rsidRPr="002C38CE">
                <w:rPr>
                  <w:rStyle w:val="Hyperlink"/>
                </w:rPr>
                <w:t>ref’d</w:t>
              </w:r>
              <w:proofErr w:type="spellEnd"/>
              <w:r w:rsidR="002C38CE" w:rsidRPr="002C38CE">
                <w:rPr>
                  <w:rStyle w:val="Hyperlink"/>
                </w:rPr>
                <w:t>)</w:t>
              </w:r>
            </w:hyperlink>
            <w:r w:rsidR="002C38CE" w:rsidRPr="002C38CE">
              <w:t xml:space="preserve">; </w:t>
            </w:r>
            <w:hyperlink r:id="rId41" w:anchor="co_pp_sp_4644_172" w:history="1">
              <w:r w:rsidR="002C38CE" w:rsidRPr="002C38CE">
                <w:rPr>
                  <w:rStyle w:val="Hyperlink"/>
                  <w:i/>
                  <w:iCs/>
                </w:rPr>
                <w:t>Sanchez v. State</w:t>
              </w:r>
              <w:r w:rsidR="002C38CE" w:rsidRPr="002C38CE">
                <w:rPr>
                  <w:rStyle w:val="Hyperlink"/>
                </w:rPr>
                <w:t xml:space="preserve">, 269 S.W.3d 169, 172 (Tex. App.—Amarillo 2008, pet. </w:t>
              </w:r>
              <w:proofErr w:type="spellStart"/>
              <w:r w:rsidR="002C38CE" w:rsidRPr="002C38CE">
                <w:rPr>
                  <w:rStyle w:val="Hyperlink"/>
                </w:rPr>
                <w:t>ref’d</w:t>
              </w:r>
              <w:proofErr w:type="spellEnd"/>
              <w:r w:rsidR="002C38CE" w:rsidRPr="002C38CE">
                <w:rPr>
                  <w:rStyle w:val="Hyperlink"/>
                </w:rPr>
                <w:t>)</w:t>
              </w:r>
            </w:hyperlink>
            <w:r w:rsidR="002C38CE" w:rsidRPr="002C38CE">
              <w:t xml:space="preserve">; </w:t>
            </w:r>
            <w:hyperlink r:id="rId42" w:anchor="co_pp_sp_4644_535" w:history="1">
              <w:r w:rsidR="002C38CE" w:rsidRPr="002C38CE">
                <w:rPr>
                  <w:rStyle w:val="Hyperlink"/>
                  <w:i/>
                  <w:iCs/>
                </w:rPr>
                <w:t>Jensen v. State</w:t>
              </w:r>
              <w:r w:rsidR="002C38CE" w:rsidRPr="002C38CE">
                <w:rPr>
                  <w:rStyle w:val="Hyperlink"/>
                </w:rPr>
                <w:t>, 66 S.W.3d 528, 535</w:t>
              </w:r>
            </w:hyperlink>
            <w:r w:rsidR="002C38CE" w:rsidRPr="002C38CE">
              <w:t xml:space="preserve"> (Tex. App.—Houston [14th Dist.] 2002, pet. </w:t>
            </w:r>
            <w:proofErr w:type="spellStart"/>
            <w:r w:rsidR="002C38CE" w:rsidRPr="002C38CE">
              <w:t>ref’d</w:t>
            </w:r>
            <w:proofErr w:type="spellEnd"/>
            <w:r w:rsidR="002C38CE" w:rsidRPr="002C38CE">
              <w:t xml:space="preserve">) (op. on </w:t>
            </w:r>
            <w:proofErr w:type="spellStart"/>
            <w:r w:rsidR="002C38CE" w:rsidRPr="002C38CE">
              <w:t>reh’g</w:t>
            </w:r>
            <w:proofErr w:type="spellEnd"/>
            <w:r w:rsidR="002C38CE" w:rsidRPr="002C38CE">
              <w:t xml:space="preserve">); </w:t>
            </w:r>
            <w:hyperlink r:id="rId43" w:anchor="co_pp_sp_4644_912" w:history="1">
              <w:proofErr w:type="spellStart"/>
              <w:r w:rsidR="002C38CE" w:rsidRPr="002C38CE">
                <w:rPr>
                  <w:rStyle w:val="Hyperlink"/>
                  <w:i/>
                  <w:iCs/>
                </w:rPr>
                <w:t>Matz</w:t>
              </w:r>
              <w:proofErr w:type="spellEnd"/>
              <w:r w:rsidR="002C38CE" w:rsidRPr="002C38CE">
                <w:rPr>
                  <w:rStyle w:val="Hyperlink"/>
                  <w:i/>
                  <w:iCs/>
                </w:rPr>
                <w:t xml:space="preserve"> v. State</w:t>
              </w:r>
              <w:r w:rsidR="002C38CE" w:rsidRPr="002C38CE">
                <w:rPr>
                  <w:rStyle w:val="Hyperlink"/>
                </w:rPr>
                <w:t xml:space="preserve">, 21 S.W.3d 911, 912-13 (Tex. App.—Fort Worth 2000, pet. </w:t>
              </w:r>
              <w:proofErr w:type="spellStart"/>
              <w:r w:rsidR="002C38CE" w:rsidRPr="002C38CE">
                <w:rPr>
                  <w:rStyle w:val="Hyperlink"/>
                </w:rPr>
                <w:t>ref’d</w:t>
              </w:r>
              <w:proofErr w:type="spellEnd"/>
              <w:r w:rsidR="002C38CE" w:rsidRPr="002C38CE">
                <w:rPr>
                  <w:rStyle w:val="Hyperlink"/>
                </w:rPr>
                <w:t>)</w:t>
              </w:r>
            </w:hyperlink>
            <w:r w:rsidR="002C38CE" w:rsidRPr="002C38CE">
              <w:t>.</w:t>
            </w:r>
          </w:p>
          <w:p w:rsidR="002C38CE" w:rsidRPr="002C38CE" w:rsidRDefault="002C38CE" w:rsidP="002C38CE">
            <w:pPr>
              <w:spacing w:after="0"/>
            </w:pPr>
          </w:p>
        </w:tc>
      </w:tr>
      <w:bookmarkStart w:id="67" w:name="co_footnote_B00192040882508_1"/>
      <w:bookmarkEnd w:id="67"/>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"#co_footnoteReference_B00192040882508_ID0" </w:instrText>
            </w:r>
            <w:r w:rsidRPr="002C38CE">
              <w:fldChar w:fldCharType="separate"/>
            </w:r>
            <w:r w:rsidRPr="002C38CE">
              <w:rPr>
                <w:rStyle w:val="Hyperlink"/>
                <w:vertAlign w:val="superscript"/>
              </w:rPr>
              <w:t>19</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85284B" w:rsidP="002C38CE">
            <w:pPr>
              <w:spacing w:after="0"/>
            </w:pPr>
            <w:hyperlink r:id="rId44" w:history="1">
              <w:r w:rsidR="002C38CE" w:rsidRPr="002C38CE">
                <w:rPr>
                  <w:rStyle w:val="Hyperlink"/>
                </w:rPr>
                <w:t xml:space="preserve">Tex. R. </w:t>
              </w:r>
              <w:proofErr w:type="spellStart"/>
              <w:r w:rsidR="002C38CE" w:rsidRPr="002C38CE">
                <w:rPr>
                  <w:rStyle w:val="Hyperlink"/>
                </w:rPr>
                <w:t>Evid</w:t>
              </w:r>
              <w:proofErr w:type="spellEnd"/>
              <w:r w:rsidR="002C38CE" w:rsidRPr="002C38CE">
                <w:rPr>
                  <w:rStyle w:val="Hyperlink"/>
                </w:rPr>
                <w:t>. 403</w:t>
              </w:r>
            </w:hyperlink>
            <w:r w:rsidR="002C38CE" w:rsidRPr="002C38CE">
              <w:t>.</w:t>
            </w:r>
          </w:p>
          <w:p w:rsidR="002C38CE" w:rsidRPr="002C38CE" w:rsidRDefault="002C38CE" w:rsidP="002C38CE">
            <w:pPr>
              <w:spacing w:after="0"/>
            </w:pPr>
          </w:p>
        </w:tc>
      </w:tr>
      <w:bookmarkStart w:id="68" w:name="co_footnote_B00202040882508_1"/>
      <w:bookmarkEnd w:id="68"/>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"#co_footnoteReference_B00202040882508_ID0" </w:instrText>
            </w:r>
            <w:r w:rsidRPr="002C38CE">
              <w:fldChar w:fldCharType="separate"/>
            </w:r>
            <w:r w:rsidRPr="002C38CE">
              <w:rPr>
                <w:rStyle w:val="Hyperlink"/>
                <w:vertAlign w:val="superscript"/>
              </w:rPr>
              <w:t>20</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85284B" w:rsidP="002C38CE">
            <w:pPr>
              <w:spacing w:after="0"/>
            </w:pPr>
            <w:hyperlink r:id="rId45" w:anchor="co_pp_sp_4644_217" w:history="1">
              <w:proofErr w:type="spellStart"/>
              <w:r w:rsidR="002C38CE" w:rsidRPr="002C38CE">
                <w:rPr>
                  <w:rStyle w:val="Hyperlink"/>
                  <w:i/>
                  <w:iCs/>
                </w:rPr>
                <w:t>Robisheaux</w:t>
              </w:r>
              <w:proofErr w:type="spellEnd"/>
              <w:r w:rsidR="002C38CE" w:rsidRPr="002C38CE">
                <w:rPr>
                  <w:rStyle w:val="Hyperlink"/>
                  <w:i/>
                  <w:iCs/>
                </w:rPr>
                <w:t xml:space="preserve"> v. State</w:t>
              </w:r>
              <w:r w:rsidR="002C38CE" w:rsidRPr="002C38CE">
                <w:rPr>
                  <w:rStyle w:val="Hyperlink"/>
                </w:rPr>
                <w:t xml:space="preserve">, 483 S.W.3d 205, 217-18 (Tex. App.—Austin 2016, pet. </w:t>
              </w:r>
              <w:proofErr w:type="spellStart"/>
              <w:r w:rsidR="002C38CE" w:rsidRPr="002C38CE">
                <w:rPr>
                  <w:rStyle w:val="Hyperlink"/>
                </w:rPr>
                <w:t>ref’d</w:t>
              </w:r>
              <w:proofErr w:type="spellEnd"/>
              <w:r w:rsidR="002C38CE" w:rsidRPr="002C38CE">
                <w:rPr>
                  <w:rStyle w:val="Hyperlink"/>
                </w:rPr>
                <w:t>)</w:t>
              </w:r>
            </w:hyperlink>
            <w:r w:rsidR="002C38CE" w:rsidRPr="002C38CE">
              <w:t xml:space="preserve"> (quoting </w:t>
            </w:r>
            <w:hyperlink r:id="rId46" w:anchor="co_pp_sp_4644_811" w:history="1">
              <w:proofErr w:type="spellStart"/>
              <w:r w:rsidR="002C38CE" w:rsidRPr="002C38CE">
                <w:rPr>
                  <w:rStyle w:val="Hyperlink"/>
                  <w:i/>
                  <w:iCs/>
                </w:rPr>
                <w:t>Pawlak</w:t>
              </w:r>
              <w:proofErr w:type="spellEnd"/>
              <w:r w:rsidR="002C38CE" w:rsidRPr="002C38CE">
                <w:rPr>
                  <w:rStyle w:val="Hyperlink"/>
                  <w:i/>
                  <w:iCs/>
                </w:rPr>
                <w:t xml:space="preserve"> v. State</w:t>
              </w:r>
              <w:r w:rsidR="002C38CE" w:rsidRPr="002C38CE">
                <w:rPr>
                  <w:rStyle w:val="Hyperlink"/>
                </w:rPr>
                <w:t>, 420 S.W.3d 807, 811 (Tex. Crim. App. 2013)</w:t>
              </w:r>
            </w:hyperlink>
            <w:r w:rsidR="002C38CE" w:rsidRPr="002C38CE">
              <w:t xml:space="preserve"> (internal citation omitted)).</w:t>
            </w:r>
          </w:p>
          <w:p w:rsidR="002C38CE" w:rsidRPr="002C38CE" w:rsidRDefault="002C38CE" w:rsidP="002C38CE">
            <w:pPr>
              <w:spacing w:after="0"/>
            </w:pPr>
          </w:p>
        </w:tc>
      </w:tr>
      <w:bookmarkStart w:id="69" w:name="co_footnote_B00212040882508_1"/>
      <w:bookmarkEnd w:id="69"/>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"#co_footnoteReference_B00212040882508_ID0" </w:instrText>
            </w:r>
            <w:r w:rsidRPr="002C38CE">
              <w:fldChar w:fldCharType="separate"/>
            </w:r>
            <w:r w:rsidRPr="002C38CE">
              <w:rPr>
                <w:rStyle w:val="Hyperlink"/>
                <w:vertAlign w:val="superscript"/>
              </w:rPr>
              <w:t>21</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85284B" w:rsidP="002C38CE">
            <w:pPr>
              <w:spacing w:after="0"/>
            </w:pPr>
            <w:hyperlink r:id="rId47" w:anchor="co_pp_sp_4644_568" w:history="1">
              <w:r w:rsidR="002C38CE" w:rsidRPr="002C38CE">
                <w:rPr>
                  <w:rStyle w:val="Hyperlink"/>
                  <w:i/>
                  <w:iCs/>
                </w:rPr>
                <w:t>Hammer v. State</w:t>
              </w:r>
              <w:r w:rsidR="002C38CE" w:rsidRPr="002C38CE">
                <w:rPr>
                  <w:rStyle w:val="Hyperlink"/>
                </w:rPr>
                <w:t>, 296 S.W.3d 555, 568 (Tex. Crim. App. 2009)</w:t>
              </w:r>
            </w:hyperlink>
            <w:r w:rsidR="002C38CE" w:rsidRPr="002C38CE">
              <w:t xml:space="preserve"> (quoting </w:t>
            </w:r>
            <w:hyperlink r:id="rId48" w:anchor="co_pp_sp_4644_202" w:history="1">
              <w:r w:rsidR="002C38CE" w:rsidRPr="002C38CE">
                <w:rPr>
                  <w:rStyle w:val="Hyperlink"/>
                  <w:i/>
                  <w:iCs/>
                </w:rPr>
                <w:t>Conner v. State</w:t>
              </w:r>
              <w:r w:rsidR="002C38CE" w:rsidRPr="002C38CE">
                <w:rPr>
                  <w:rStyle w:val="Hyperlink"/>
                </w:rPr>
                <w:t>, 67 S.W.3d 192, 202 (Tex. Crim. App. 2001)</w:t>
              </w:r>
            </w:hyperlink>
            <w:r w:rsidR="002C38CE" w:rsidRPr="002C38CE">
              <w:t xml:space="preserve">; </w:t>
            </w:r>
            <w:hyperlink r:id="rId49" w:anchor="co_pp_sp_713_708" w:history="1">
              <w:r w:rsidR="002C38CE" w:rsidRPr="002C38CE">
                <w:rPr>
                  <w:rStyle w:val="Hyperlink"/>
                  <w:i/>
                  <w:iCs/>
                </w:rPr>
                <w:t>Joiner v. State</w:t>
              </w:r>
              <w:r w:rsidR="002C38CE" w:rsidRPr="002C38CE">
                <w:rPr>
                  <w:rStyle w:val="Hyperlink"/>
                </w:rPr>
                <w:t>, 825 S.W.2d 701, 708 (Tex. Crim. App. 1992)</w:t>
              </w:r>
            </w:hyperlink>
            <w:r w:rsidR="002C38CE" w:rsidRPr="002C38CE">
              <w:t>).</w:t>
            </w:r>
          </w:p>
          <w:p w:rsidR="002C38CE" w:rsidRPr="002C38CE" w:rsidRDefault="002C38CE" w:rsidP="002C38CE">
            <w:pPr>
              <w:spacing w:after="0"/>
            </w:pPr>
          </w:p>
        </w:tc>
      </w:tr>
      <w:bookmarkStart w:id="70" w:name="co_footnote_B00222040882508_1"/>
      <w:bookmarkEnd w:id="70"/>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"#co_footnoteReference_B00222040882508_ID0" </w:instrText>
            </w:r>
            <w:r w:rsidRPr="002C38CE">
              <w:fldChar w:fldCharType="separate"/>
            </w:r>
            <w:r w:rsidRPr="002C38CE">
              <w:rPr>
                <w:rStyle w:val="Hyperlink"/>
                <w:vertAlign w:val="superscript"/>
              </w:rPr>
              <w:t>22</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85284B" w:rsidP="002C38CE">
            <w:pPr>
              <w:spacing w:after="0"/>
            </w:pPr>
            <w:hyperlink r:id="rId50" w:anchor="co_pp_sp_4644_641" w:history="1">
              <w:proofErr w:type="spellStart"/>
              <w:r w:rsidR="002C38CE" w:rsidRPr="002C38CE">
                <w:rPr>
                  <w:rStyle w:val="Hyperlink"/>
                  <w:i/>
                  <w:iCs/>
                </w:rPr>
                <w:t>Gigliobianco</w:t>
              </w:r>
              <w:proofErr w:type="spellEnd"/>
              <w:r w:rsidR="002C38CE" w:rsidRPr="002C38CE">
                <w:rPr>
                  <w:rStyle w:val="Hyperlink"/>
                  <w:i/>
                  <w:iCs/>
                </w:rPr>
                <w:t xml:space="preserve"> v. State</w:t>
              </w:r>
              <w:r w:rsidR="002C38CE" w:rsidRPr="002C38CE">
                <w:rPr>
                  <w:rStyle w:val="Hyperlink"/>
                </w:rPr>
                <w:t>, 210 S.W.3d 637, 641-42 (Tex. Crim. App. 2006)</w:t>
              </w:r>
            </w:hyperlink>
            <w:r w:rsidR="002C38CE" w:rsidRPr="002C38CE">
              <w:t>.</w:t>
            </w:r>
          </w:p>
          <w:p w:rsidR="002C38CE" w:rsidRPr="002C38CE" w:rsidRDefault="002C38CE" w:rsidP="002C38CE">
            <w:pPr>
              <w:spacing w:after="0"/>
            </w:pPr>
          </w:p>
        </w:tc>
      </w:tr>
      <w:bookmarkStart w:id="71" w:name="co_footnote_B00232040882508_1"/>
      <w:bookmarkEnd w:id="71"/>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"#co_footnoteReference_B00232040882508_ID0" </w:instrText>
            </w:r>
            <w:r w:rsidRPr="002C38CE">
              <w:fldChar w:fldCharType="separate"/>
            </w:r>
            <w:r w:rsidRPr="002C38CE">
              <w:rPr>
                <w:rStyle w:val="Hyperlink"/>
                <w:vertAlign w:val="superscript"/>
              </w:rPr>
              <w:t>23</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2C38CE" w:rsidP="002C38CE">
            <w:pPr>
              <w:spacing w:after="0"/>
            </w:pPr>
            <w:r w:rsidRPr="002C38CE">
              <w:rPr>
                <w:i/>
                <w:iCs/>
              </w:rPr>
              <w:t>Id</w:t>
            </w:r>
            <w:r w:rsidRPr="002C38CE">
              <w:t>. at 642.</w:t>
            </w:r>
          </w:p>
          <w:p w:rsidR="002C38CE" w:rsidRPr="002C38CE" w:rsidRDefault="002C38CE" w:rsidP="002C38CE">
            <w:pPr>
              <w:spacing w:after="0"/>
            </w:pPr>
          </w:p>
        </w:tc>
      </w:tr>
      <w:bookmarkStart w:id="72" w:name="co_footnote_B00242040882508_1"/>
      <w:bookmarkEnd w:id="72"/>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"#co_footnoteReference_B00242040882508_ID0" </w:instrText>
            </w:r>
            <w:r w:rsidRPr="002C38CE">
              <w:fldChar w:fldCharType="separate"/>
            </w:r>
            <w:r w:rsidRPr="002C38CE">
              <w:rPr>
                <w:rStyle w:val="Hyperlink"/>
                <w:vertAlign w:val="superscript"/>
              </w:rPr>
              <w:t>24</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2C38CE" w:rsidP="002C38CE">
            <w:pPr>
              <w:spacing w:after="0"/>
            </w:pPr>
            <w:r w:rsidRPr="002C38CE">
              <w:rPr>
                <w:i/>
                <w:iCs/>
              </w:rPr>
              <w:t>See</w:t>
            </w:r>
            <w:r w:rsidRPr="002C38CE">
              <w:t xml:space="preserve"> </w:t>
            </w:r>
            <w:hyperlink r:id="rId51" w:anchor="co_pp_b4cb00009d733" w:history="1">
              <w:r w:rsidRPr="002C38CE">
                <w:rPr>
                  <w:rStyle w:val="Hyperlink"/>
                </w:rPr>
                <w:t>Tex. Penal Code § 22.021(a</w:t>
              </w:r>
              <w:proofErr w:type="gramStart"/>
              <w:r w:rsidRPr="002C38CE">
                <w:rPr>
                  <w:rStyle w:val="Hyperlink"/>
                </w:rPr>
                <w:t>)(</w:t>
              </w:r>
              <w:proofErr w:type="gramEnd"/>
              <w:r w:rsidRPr="002C38CE">
                <w:rPr>
                  <w:rStyle w:val="Hyperlink"/>
                </w:rPr>
                <w:t>2)(A)(ii)</w:t>
              </w:r>
            </w:hyperlink>
            <w:r w:rsidRPr="002C38CE">
              <w:t>.</w:t>
            </w:r>
          </w:p>
          <w:p w:rsidR="002C38CE" w:rsidRPr="002C38CE" w:rsidRDefault="002C38CE" w:rsidP="002C38CE">
            <w:pPr>
              <w:spacing w:after="0"/>
            </w:pPr>
          </w:p>
        </w:tc>
      </w:tr>
      <w:bookmarkStart w:id="73" w:name="co_footnote_B00252040882508_1"/>
      <w:bookmarkEnd w:id="73"/>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"#co_footnoteReference_B00252040882508_ID0" </w:instrText>
            </w:r>
            <w:r w:rsidRPr="002C38CE">
              <w:fldChar w:fldCharType="separate"/>
            </w:r>
            <w:r w:rsidRPr="002C38CE">
              <w:rPr>
                <w:rStyle w:val="Hyperlink"/>
                <w:vertAlign w:val="superscript"/>
              </w:rPr>
              <w:t>25</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2C38CE" w:rsidP="002C38CE">
            <w:pPr>
              <w:spacing w:after="0"/>
            </w:pPr>
            <w:r w:rsidRPr="002C38CE">
              <w:rPr>
                <w:i/>
                <w:iCs/>
              </w:rPr>
              <w:t xml:space="preserve">See </w:t>
            </w:r>
            <w:hyperlink r:id="rId52" w:anchor="co_pp_sp_4644_43" w:history="1">
              <w:r w:rsidRPr="002C38CE">
                <w:rPr>
                  <w:rStyle w:val="Hyperlink"/>
                  <w:i/>
                  <w:iCs/>
                </w:rPr>
                <w:t>Espinosa v. State</w:t>
              </w:r>
              <w:r w:rsidRPr="002C38CE">
                <w:rPr>
                  <w:rStyle w:val="Hyperlink"/>
                </w:rPr>
                <w:t>, 328 S.W.3d 32, 43</w:t>
              </w:r>
            </w:hyperlink>
            <w:r w:rsidRPr="002C38CE">
              <w:t xml:space="preserve"> (Tex. App.—Corpus Christi 2010, pet. </w:t>
            </w:r>
            <w:proofErr w:type="spellStart"/>
            <w:r w:rsidRPr="002C38CE">
              <w:t>ref’d</w:t>
            </w:r>
            <w:proofErr w:type="spellEnd"/>
            <w:r w:rsidRPr="002C38CE">
              <w:t xml:space="preserve">); </w:t>
            </w:r>
            <w:hyperlink r:id="rId53" w:anchor="co_pp_sp_713_281" w:history="1">
              <w:r w:rsidRPr="002C38CE">
                <w:rPr>
                  <w:rStyle w:val="Hyperlink"/>
                  <w:i/>
                  <w:iCs/>
                </w:rPr>
                <w:t>Smith v. State</w:t>
              </w:r>
              <w:r w:rsidRPr="002C38CE">
                <w:rPr>
                  <w:rStyle w:val="Hyperlink"/>
                </w:rPr>
                <w:t>, 774 S.W.2d 280, 281-82 (Tex. App.—Houston [14th Dist.] 1989, no pet.)</w:t>
              </w:r>
            </w:hyperlink>
            <w:r w:rsidRPr="002C38CE">
              <w:t xml:space="preserve">; </w:t>
            </w:r>
            <w:r w:rsidRPr="002C38CE">
              <w:rPr>
                <w:i/>
                <w:iCs/>
              </w:rPr>
              <w:t xml:space="preserve">see also </w:t>
            </w:r>
            <w:hyperlink r:id="rId54" w:history="1">
              <w:proofErr w:type="spellStart"/>
              <w:r w:rsidRPr="002C38CE">
                <w:rPr>
                  <w:rStyle w:val="Hyperlink"/>
                  <w:i/>
                  <w:iCs/>
                </w:rPr>
                <w:t>Aylor</w:t>
              </w:r>
              <w:proofErr w:type="spellEnd"/>
              <w:r w:rsidRPr="002C38CE">
                <w:rPr>
                  <w:rStyle w:val="Hyperlink"/>
                  <w:i/>
                  <w:iCs/>
                </w:rPr>
                <w:t xml:space="preserve"> v. State</w:t>
              </w:r>
              <w:r w:rsidRPr="002C38CE">
                <w:rPr>
                  <w:rStyle w:val="Hyperlink"/>
                </w:rPr>
                <w:t xml:space="preserve">, No. 04-94-00759-CR, 1997 Tex. App. LEXIS 1442, at *75-76 (Tex. App.—San Antonio Mar. 26, 1997, pet. </w:t>
              </w:r>
              <w:proofErr w:type="spellStart"/>
              <w:r w:rsidRPr="002C38CE">
                <w:rPr>
                  <w:rStyle w:val="Hyperlink"/>
                </w:rPr>
                <w:t>ref’d</w:t>
              </w:r>
              <w:proofErr w:type="spellEnd"/>
              <w:r w:rsidRPr="002C38CE">
                <w:rPr>
                  <w:rStyle w:val="Hyperlink"/>
                </w:rPr>
                <w:t>)</w:t>
              </w:r>
            </w:hyperlink>
            <w:r w:rsidRPr="002C38CE">
              <w:t xml:space="preserve"> (op., not designated for publication) (“Evidence of what appellant was willing to do in order to avoid incarceration is inherently probative and was not unfairly prejudicial.”).</w:t>
            </w:r>
          </w:p>
          <w:p w:rsidR="002C38CE" w:rsidRPr="002C38CE" w:rsidRDefault="002C38CE" w:rsidP="002C38CE">
            <w:pPr>
              <w:spacing w:after="0"/>
            </w:pPr>
          </w:p>
        </w:tc>
      </w:tr>
      <w:bookmarkStart w:id="74" w:name="co_footnote_B00262040882508_1"/>
      <w:bookmarkEnd w:id="74"/>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"#co_footnoteReference_B00262040882508_ID0" </w:instrText>
            </w:r>
            <w:r w:rsidRPr="002C38CE">
              <w:fldChar w:fldCharType="separate"/>
            </w:r>
            <w:r w:rsidRPr="002C38CE">
              <w:rPr>
                <w:rStyle w:val="Hyperlink"/>
                <w:vertAlign w:val="superscript"/>
              </w:rPr>
              <w:t>26</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85284B" w:rsidP="002C38CE">
            <w:pPr>
              <w:spacing w:after="0"/>
            </w:pPr>
            <w:hyperlink r:id="rId55" w:history="1">
              <w:r w:rsidR="002C38CE" w:rsidRPr="002C38CE">
                <w:rPr>
                  <w:rStyle w:val="Hyperlink"/>
                </w:rPr>
                <w:t>Tex. Code Crim. Proc. art. 37.07, § 3(g)</w:t>
              </w:r>
            </w:hyperlink>
            <w:r w:rsidR="002C38CE" w:rsidRPr="002C38CE">
              <w:t xml:space="preserve"> (emphasis added).</w:t>
            </w:r>
          </w:p>
          <w:p w:rsidR="002C38CE" w:rsidRPr="002C38CE" w:rsidRDefault="002C38CE" w:rsidP="002C38CE">
            <w:pPr>
              <w:spacing w:after="0"/>
            </w:pPr>
          </w:p>
        </w:tc>
      </w:tr>
      <w:bookmarkStart w:id="75" w:name="co_footnote_B00272040882508_1"/>
      <w:bookmarkEnd w:id="75"/>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"#co_footnoteReference_B00272040882508_ID0" </w:instrText>
            </w:r>
            <w:r w:rsidRPr="002C38CE">
              <w:fldChar w:fldCharType="separate"/>
            </w:r>
            <w:r w:rsidRPr="002C38CE">
              <w:rPr>
                <w:rStyle w:val="Hyperlink"/>
                <w:vertAlign w:val="superscript"/>
              </w:rPr>
              <w:t>27</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2C38CE" w:rsidP="002C38CE">
            <w:pPr>
              <w:spacing w:after="0"/>
            </w:pPr>
            <w:r w:rsidRPr="002C38CE">
              <w:rPr>
                <w:i/>
                <w:iCs/>
              </w:rPr>
              <w:t xml:space="preserve">See </w:t>
            </w:r>
            <w:hyperlink r:id="rId56" w:anchor="co_pp_sp_4644_38" w:history="1">
              <w:r w:rsidRPr="002C38CE">
                <w:rPr>
                  <w:rStyle w:val="Hyperlink"/>
                  <w:i/>
                  <w:iCs/>
                </w:rPr>
                <w:t>Worthy v. State</w:t>
              </w:r>
              <w:r w:rsidRPr="002C38CE">
                <w:rPr>
                  <w:rStyle w:val="Hyperlink"/>
                </w:rPr>
                <w:t>, 312 S.W.3d 34, 38 (Tex. Crim. App. 2010)</w:t>
              </w:r>
            </w:hyperlink>
            <w:r w:rsidRPr="002C38CE">
              <w:t xml:space="preserve">; </w:t>
            </w:r>
            <w:hyperlink r:id="rId57" w:anchor="co_pp_sp_4644_281" w:history="1">
              <w:proofErr w:type="spellStart"/>
              <w:r w:rsidRPr="002C38CE">
                <w:rPr>
                  <w:rStyle w:val="Hyperlink"/>
                  <w:i/>
                  <w:iCs/>
                </w:rPr>
                <w:t>Roethel</w:t>
              </w:r>
              <w:proofErr w:type="spellEnd"/>
              <w:r w:rsidRPr="002C38CE">
                <w:rPr>
                  <w:rStyle w:val="Hyperlink"/>
                  <w:i/>
                  <w:iCs/>
                </w:rPr>
                <w:t xml:space="preserve"> v. State</w:t>
              </w:r>
              <w:r w:rsidRPr="002C38CE">
                <w:rPr>
                  <w:rStyle w:val="Hyperlink"/>
                </w:rPr>
                <w:t>, 80 S.W.3d 276, 281 (Tex. App.—Austin 2002, no pet.)</w:t>
              </w:r>
            </w:hyperlink>
            <w:r w:rsidRPr="002C38CE">
              <w:t>.</w:t>
            </w:r>
          </w:p>
          <w:p w:rsidR="002C38CE" w:rsidRPr="002C38CE" w:rsidRDefault="002C38CE" w:rsidP="002C38CE">
            <w:pPr>
              <w:spacing w:after="0"/>
            </w:pPr>
          </w:p>
        </w:tc>
      </w:tr>
      <w:bookmarkStart w:id="76" w:name="co_footnote_B00282040882508_1"/>
      <w:bookmarkEnd w:id="76"/>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"#co_footnoteReference_B00282040882508_ID0" </w:instrText>
            </w:r>
            <w:r w:rsidRPr="002C38CE">
              <w:fldChar w:fldCharType="separate"/>
            </w:r>
            <w:r w:rsidRPr="002C38CE">
              <w:rPr>
                <w:rStyle w:val="Hyperlink"/>
                <w:vertAlign w:val="superscript"/>
              </w:rPr>
              <w:t>28</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85284B" w:rsidP="002C38CE">
            <w:pPr>
              <w:spacing w:after="0"/>
            </w:pPr>
            <w:hyperlink r:id="rId58" w:anchor="co_pp_sp_4644_281" w:history="1">
              <w:proofErr w:type="spellStart"/>
              <w:r w:rsidR="002C38CE" w:rsidRPr="002C38CE">
                <w:rPr>
                  <w:rStyle w:val="Hyperlink"/>
                  <w:i/>
                  <w:iCs/>
                </w:rPr>
                <w:t>Roethel</w:t>
              </w:r>
              <w:proofErr w:type="spellEnd"/>
              <w:r w:rsidR="002C38CE" w:rsidRPr="002C38CE">
                <w:rPr>
                  <w:rStyle w:val="Hyperlink"/>
                </w:rPr>
                <w:t>, 80 S.W.3d at 281</w:t>
              </w:r>
            </w:hyperlink>
            <w:r w:rsidR="002C38CE" w:rsidRPr="002C38CE">
              <w:t xml:space="preserve"> (quoting </w:t>
            </w:r>
            <w:hyperlink r:id="rId59" w:anchor="co_pp_sp_4644_925" w:history="1">
              <w:r w:rsidR="002C38CE" w:rsidRPr="002C38CE">
                <w:rPr>
                  <w:rStyle w:val="Hyperlink"/>
                  <w:i/>
                  <w:iCs/>
                </w:rPr>
                <w:t>Ford v. State</w:t>
              </w:r>
              <w:r w:rsidR="002C38CE" w:rsidRPr="002C38CE">
                <w:rPr>
                  <w:rStyle w:val="Hyperlink"/>
                </w:rPr>
                <w:t>, 73 S.W.3d 923, 925 (Tex. Crim. App. 2002)</w:t>
              </w:r>
            </w:hyperlink>
            <w:r w:rsidR="002C38CE" w:rsidRPr="002C38CE">
              <w:t>.</w:t>
            </w:r>
          </w:p>
          <w:p w:rsidR="002C38CE" w:rsidRPr="002C38CE" w:rsidRDefault="002C38CE" w:rsidP="002C38CE">
            <w:pPr>
              <w:spacing w:after="0"/>
            </w:pPr>
          </w:p>
        </w:tc>
      </w:tr>
      <w:bookmarkStart w:id="77" w:name="co_footnote_B00292040882508_1"/>
      <w:bookmarkEnd w:id="77"/>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"#co_footnoteReference_B00292040882508_ID0" </w:instrText>
            </w:r>
            <w:r w:rsidRPr="002C38CE">
              <w:fldChar w:fldCharType="separate"/>
            </w:r>
            <w:r w:rsidRPr="002C38CE">
              <w:rPr>
                <w:rStyle w:val="Hyperlink"/>
                <w:vertAlign w:val="superscript"/>
              </w:rPr>
              <w:t>29</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2C38CE" w:rsidP="002C38CE">
            <w:pPr>
              <w:spacing w:after="0"/>
            </w:pPr>
            <w:r w:rsidRPr="002C38CE">
              <w:rPr>
                <w:i/>
                <w:iCs/>
              </w:rPr>
              <w:t>Id</w:t>
            </w:r>
            <w:r w:rsidRPr="002C38CE">
              <w:t xml:space="preserve">. (citing </w:t>
            </w:r>
            <w:hyperlink r:id="rId60" w:history="1">
              <w:r w:rsidRPr="002C38CE">
                <w:rPr>
                  <w:rStyle w:val="Hyperlink"/>
                </w:rPr>
                <w:t>Tex. R. App. P. 44.2(b)</w:t>
              </w:r>
            </w:hyperlink>
            <w:r w:rsidRPr="002C38CE">
              <w:t>).</w:t>
            </w:r>
          </w:p>
          <w:p w:rsidR="002C38CE" w:rsidRPr="002C38CE" w:rsidRDefault="002C38CE" w:rsidP="002C38CE">
            <w:pPr>
              <w:spacing w:after="0"/>
            </w:pPr>
          </w:p>
        </w:tc>
      </w:tr>
      <w:bookmarkStart w:id="78" w:name="co_footnote_B00302040882508_1"/>
      <w:bookmarkEnd w:id="78"/>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lastRenderedPageBreak/>
              <w:fldChar w:fldCharType="begin"/>
            </w:r>
            <w:r w:rsidRPr="002C38CE">
              <w:instrText xml:space="preserve">HYPERLINK "#co_footnoteReference_B00302040882508_ID0" </w:instrText>
            </w:r>
            <w:r w:rsidRPr="002C38CE">
              <w:fldChar w:fldCharType="separate"/>
            </w:r>
            <w:r w:rsidRPr="002C38CE">
              <w:rPr>
                <w:rStyle w:val="Hyperlink"/>
                <w:vertAlign w:val="superscript"/>
              </w:rPr>
              <w:t>30</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2C38CE" w:rsidP="002C38CE">
            <w:pPr>
              <w:spacing w:after="0"/>
            </w:pPr>
            <w:r w:rsidRPr="002C38CE">
              <w:rPr>
                <w:i/>
                <w:iCs/>
              </w:rPr>
              <w:t>Id</w:t>
            </w:r>
            <w:r w:rsidRPr="002C38CE">
              <w:t>.</w:t>
            </w:r>
          </w:p>
          <w:p w:rsidR="002C38CE" w:rsidRPr="002C38CE" w:rsidRDefault="002C38CE" w:rsidP="002C38CE">
            <w:pPr>
              <w:spacing w:after="0"/>
            </w:pPr>
          </w:p>
        </w:tc>
      </w:tr>
      <w:bookmarkStart w:id="79" w:name="co_footnote_B00312040882508_1"/>
      <w:bookmarkEnd w:id="79"/>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"#co_footnoteReference_B00312040882508_ID0" </w:instrText>
            </w:r>
            <w:r w:rsidRPr="002C38CE">
              <w:fldChar w:fldCharType="separate"/>
            </w:r>
            <w:r w:rsidRPr="002C38CE">
              <w:rPr>
                <w:rStyle w:val="Hyperlink"/>
                <w:vertAlign w:val="superscript"/>
              </w:rPr>
              <w:t>31</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2C38CE" w:rsidP="002C38CE">
            <w:pPr>
              <w:spacing w:after="0"/>
            </w:pPr>
            <w:r w:rsidRPr="002C38CE">
              <w:rPr>
                <w:i/>
                <w:iCs/>
              </w:rPr>
              <w:t>Id</w:t>
            </w:r>
            <w:r w:rsidRPr="002C38CE">
              <w:t xml:space="preserve">. at 281-82 (citing </w:t>
            </w:r>
            <w:hyperlink r:id="rId61" w:anchor="co_pp_sp_713_493" w:history="1">
              <w:r w:rsidRPr="002C38CE">
                <w:rPr>
                  <w:rStyle w:val="Hyperlink"/>
                  <w:i/>
                  <w:iCs/>
                </w:rPr>
                <w:t>Nance v. State</w:t>
              </w:r>
              <w:r w:rsidRPr="002C38CE">
                <w:rPr>
                  <w:rStyle w:val="Hyperlink"/>
                </w:rPr>
                <w:t xml:space="preserve">, 946 S.W.2d 490, 493 (Tex. App.—Fort Worth 1997, pet. </w:t>
              </w:r>
              <w:proofErr w:type="spellStart"/>
              <w:r w:rsidRPr="002C38CE">
                <w:rPr>
                  <w:rStyle w:val="Hyperlink"/>
                </w:rPr>
                <w:t>ref’d</w:t>
              </w:r>
              <w:proofErr w:type="spellEnd"/>
              <w:r w:rsidRPr="002C38CE">
                <w:rPr>
                  <w:rStyle w:val="Hyperlink"/>
                </w:rPr>
                <w:t>)</w:t>
              </w:r>
            </w:hyperlink>
            <w:r w:rsidRPr="002C38CE">
              <w:t>).</w:t>
            </w:r>
          </w:p>
          <w:p w:rsidR="002C38CE" w:rsidRPr="002C38CE" w:rsidRDefault="002C38CE" w:rsidP="002C38CE">
            <w:pPr>
              <w:spacing w:after="0"/>
            </w:pPr>
          </w:p>
        </w:tc>
      </w:tr>
      <w:bookmarkStart w:id="80" w:name="co_footnote_B00322040882508_1"/>
      <w:bookmarkEnd w:id="80"/>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"#co_footnoteReference_B00322040882508_ID0" </w:instrText>
            </w:r>
            <w:r w:rsidRPr="002C38CE">
              <w:fldChar w:fldCharType="separate"/>
            </w:r>
            <w:r w:rsidRPr="002C38CE">
              <w:rPr>
                <w:rStyle w:val="Hyperlink"/>
                <w:vertAlign w:val="superscript"/>
              </w:rPr>
              <w:t>32</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2C38CE" w:rsidP="002C38CE">
            <w:pPr>
              <w:spacing w:after="0"/>
            </w:pPr>
            <w:r w:rsidRPr="002C38CE">
              <w:rPr>
                <w:i/>
                <w:iCs/>
              </w:rPr>
              <w:t>Id</w:t>
            </w:r>
            <w:r w:rsidRPr="002C38CE">
              <w:t>. at 282.</w:t>
            </w:r>
          </w:p>
          <w:p w:rsidR="002C38CE" w:rsidRPr="002C38CE" w:rsidRDefault="002C38CE" w:rsidP="002C38CE">
            <w:pPr>
              <w:spacing w:after="0"/>
            </w:pPr>
          </w:p>
        </w:tc>
      </w:tr>
      <w:bookmarkStart w:id="81" w:name="co_footnote_B00332040882508_1"/>
      <w:bookmarkEnd w:id="81"/>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"#co_footnoteReference_B00332040882508_ID0" </w:instrText>
            </w:r>
            <w:r w:rsidRPr="002C38CE">
              <w:fldChar w:fldCharType="separate"/>
            </w:r>
            <w:r w:rsidRPr="002C38CE">
              <w:rPr>
                <w:rStyle w:val="Hyperlink"/>
                <w:vertAlign w:val="superscript"/>
              </w:rPr>
              <w:t>33</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2C38CE" w:rsidP="002C38CE">
            <w:pPr>
              <w:spacing w:after="0"/>
            </w:pPr>
            <w:r w:rsidRPr="002C38CE">
              <w:rPr>
                <w:i/>
                <w:iCs/>
              </w:rPr>
              <w:t>Id</w:t>
            </w:r>
            <w:r w:rsidRPr="002C38CE">
              <w:t>.</w:t>
            </w:r>
          </w:p>
          <w:p w:rsidR="002C38CE" w:rsidRPr="002C38CE" w:rsidRDefault="002C38CE" w:rsidP="002C38CE">
            <w:pPr>
              <w:spacing w:after="0"/>
            </w:pPr>
          </w:p>
        </w:tc>
      </w:tr>
      <w:bookmarkStart w:id="82" w:name="co_footnote_B00342040882508_1"/>
      <w:bookmarkEnd w:id="82"/>
      <w:tr w:rsidR="002C38CE" w:rsidRPr="002C38CE" w:rsidTr="00FB2A8B">
        <w:tc>
          <w:tcPr>
            <w:tcW w:w="600" w:type="dxa"/>
            <w:tcBorders>
              <w:top w:val="nil"/>
              <w:left w:val="nil"/>
              <w:bottom w:val="nil"/>
              <w:right w:val="nil"/>
            </w:tcBorders>
          </w:tcPr>
          <w:p w:rsidR="002C38CE" w:rsidRPr="002C38CE" w:rsidRDefault="002C38CE" w:rsidP="002C38CE">
            <w:pPr>
              <w:spacing w:after="0"/>
            </w:pPr>
            <w:r w:rsidRPr="002C38CE">
              <w:fldChar w:fldCharType="begin"/>
            </w:r>
            <w:r w:rsidRPr="002C38CE">
              <w:instrText xml:space="preserve">HYPERLINK "#co_footnoteReference_B00342040882508_ID0" </w:instrText>
            </w:r>
            <w:r w:rsidRPr="002C38CE">
              <w:fldChar w:fldCharType="separate"/>
            </w:r>
            <w:r w:rsidRPr="002C38CE">
              <w:rPr>
                <w:rStyle w:val="Hyperlink"/>
                <w:vertAlign w:val="superscript"/>
              </w:rPr>
              <w:t>34</w:t>
            </w:r>
            <w:r w:rsidRPr="002C38CE">
              <w:fldChar w:fldCharType="end"/>
            </w:r>
          </w:p>
          <w:p w:rsidR="002C38CE" w:rsidRPr="002C38CE" w:rsidRDefault="002C38CE" w:rsidP="002C38CE">
            <w:pPr>
              <w:spacing w:after="0"/>
            </w:pPr>
          </w:p>
        </w:tc>
        <w:tc>
          <w:tcPr>
            <w:tcW w:w="9480" w:type="dxa"/>
            <w:tcBorders>
              <w:top w:val="nil"/>
              <w:left w:val="nil"/>
              <w:bottom w:val="nil"/>
              <w:right w:val="nil"/>
            </w:tcBorders>
          </w:tcPr>
          <w:p w:rsidR="002C38CE" w:rsidRPr="002C38CE" w:rsidRDefault="002C38CE" w:rsidP="002C38CE">
            <w:pPr>
              <w:spacing w:after="0"/>
            </w:pPr>
            <w:r w:rsidRPr="002C38CE">
              <w:t>Although the notice also included a date on which the offense had allegedly occurred (August 6, 2009), the accuracy of that date was disputed. In a hearing outside the presence of the jury, the therapist testified that the offense occurred either on August 4 or 5, although she added that “[</w:t>
            </w:r>
            <w:proofErr w:type="spellStart"/>
            <w:r w:rsidRPr="002C38CE">
              <w:t>i</w:t>
            </w:r>
            <w:proofErr w:type="spellEnd"/>
            <w:r w:rsidRPr="002C38CE">
              <w:t xml:space="preserve">]t was not a very clear calendar day.” Following this testimony, Adkins further objected to the notice on the ground that the State had failed to include the correct date of the offense. In response, the State claimed that “[t]he police report was on August 6 and our defense is that criminal law is ‘on or about.’ ” The district court admonished the State that the written notice “doesn’t say ‘on or about,’ ” but nevertheless overruled Adkins’s objection. Assuming without deciding that the lack of precision regarding the date of the offense violates </w:t>
            </w:r>
            <w:hyperlink r:id="rId62" w:history="1">
              <w:r w:rsidRPr="002C38CE">
                <w:rPr>
                  <w:rStyle w:val="Hyperlink"/>
                </w:rPr>
                <w:t>article 37.07</w:t>
              </w:r>
            </w:hyperlink>
            <w:r w:rsidRPr="002C38CE">
              <w:t>, there is no indication in the record that this lack of precision resulted from any bad faith on the part of the State or adversely affected Adkins’s ability to prepare to meet the evidence.</w:t>
            </w:r>
          </w:p>
          <w:p w:rsidR="002C38CE" w:rsidRPr="002C38CE" w:rsidRDefault="002C38CE" w:rsidP="002C38CE">
            <w:pPr>
              <w:spacing w:after="0"/>
            </w:pPr>
          </w:p>
        </w:tc>
      </w:tr>
    </w:tbl>
    <w:p w:rsidR="002C38CE" w:rsidRPr="002C38CE" w:rsidRDefault="002C38CE" w:rsidP="002C38CE">
      <w:pPr>
        <w:spacing w:after="0"/>
      </w:pPr>
    </w:p>
    <w:tbl>
      <w:tblPr>
        <w:tblW w:w="0" w:type="auto"/>
        <w:tblInd w:w="24" w:type="dxa"/>
        <w:tblLayout w:type="fixed"/>
        <w:tblCellMar>
          <w:left w:w="0" w:type="dxa"/>
          <w:right w:w="0" w:type="dxa"/>
        </w:tblCellMar>
        <w:tblLook w:val="0000" w:firstRow="0" w:lastRow="0" w:firstColumn="0" w:lastColumn="0" w:noHBand="0" w:noVBand="0"/>
      </w:tblPr>
      <w:tblGrid>
        <w:gridCol w:w="4320"/>
        <w:gridCol w:w="5760"/>
      </w:tblGrid>
      <w:tr w:rsidR="002C38CE" w:rsidRPr="002C38CE" w:rsidTr="00FB2A8B">
        <w:tc>
          <w:tcPr>
            <w:tcW w:w="4320" w:type="dxa"/>
            <w:tcBorders>
              <w:top w:val="single" w:sz="4" w:space="0" w:color="777777"/>
              <w:left w:val="nil"/>
              <w:bottom w:val="nil"/>
              <w:right w:val="nil"/>
            </w:tcBorders>
            <w:tcMar>
              <w:top w:w="100" w:type="dxa"/>
              <w:left w:w="24" w:type="dxa"/>
              <w:right w:w="24" w:type="dxa"/>
            </w:tcMar>
          </w:tcPr>
          <w:p w:rsidR="002C38CE" w:rsidRPr="002C38CE" w:rsidRDefault="002C38CE" w:rsidP="002C38CE">
            <w:pPr>
              <w:spacing w:after="0"/>
              <w:rPr>
                <w:b/>
                <w:bCs/>
              </w:rPr>
            </w:pPr>
            <w:r w:rsidRPr="002C38CE">
              <w:rPr>
                <w:b/>
                <w:bCs/>
              </w:rPr>
              <w:t>End of Document</w:t>
            </w:r>
          </w:p>
          <w:p w:rsidR="002C38CE" w:rsidRPr="002C38CE" w:rsidRDefault="002C38CE" w:rsidP="002C38CE">
            <w:pPr>
              <w:spacing w:after="0"/>
              <w:rPr>
                <w:b/>
                <w:bCs/>
              </w:rPr>
            </w:pPr>
          </w:p>
        </w:tc>
        <w:tc>
          <w:tcPr>
            <w:tcW w:w="5760" w:type="dxa"/>
            <w:tcBorders>
              <w:top w:val="single" w:sz="4" w:space="0" w:color="777777"/>
              <w:left w:val="nil"/>
              <w:bottom w:val="nil"/>
              <w:right w:val="nil"/>
            </w:tcBorders>
            <w:tcMar>
              <w:top w:w="100" w:type="dxa"/>
              <w:left w:w="24" w:type="dxa"/>
              <w:right w:w="24" w:type="dxa"/>
            </w:tcMar>
          </w:tcPr>
          <w:p w:rsidR="002C38CE" w:rsidRPr="002C38CE" w:rsidRDefault="002C38CE" w:rsidP="002C38CE">
            <w:pPr>
              <w:spacing w:after="0"/>
            </w:pPr>
            <w:r w:rsidRPr="002C38CE">
              <w:t>© 2017 Thomson Reuters. No claim to original U.S. Government Works.</w:t>
            </w:r>
          </w:p>
          <w:p w:rsidR="002C38CE" w:rsidRPr="002C38CE" w:rsidRDefault="002C38CE" w:rsidP="002C38CE">
            <w:pPr>
              <w:spacing w:after="0"/>
            </w:pPr>
          </w:p>
        </w:tc>
      </w:tr>
    </w:tbl>
    <w:p w:rsidR="002C38CE" w:rsidRPr="002C38CE" w:rsidRDefault="002C38CE" w:rsidP="002C38CE">
      <w:pPr>
        <w:spacing w:after="0"/>
      </w:pPr>
    </w:p>
    <w:p w:rsidR="00DC0F12" w:rsidRDefault="00DC0F12"/>
    <w:sectPr w:rsidR="00DC0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CE"/>
    <w:rsid w:val="002C38CE"/>
    <w:rsid w:val="004837AE"/>
    <w:rsid w:val="0085284B"/>
    <w:rsid w:val="00BF5E70"/>
    <w:rsid w:val="00DC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8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stlaw.com/Link/Document/FullText?findType=L&amp;pubNum=1000172&amp;cite=TXCMART37.07&amp;originatingDoc=Ife9112b0eccd11e6b79af578703ae98c&amp;refType=LQ&amp;originationContext=document&amp;vr=3.0&amp;rs=cblt1.0&amp;transitionType=DocumentItem&amp;contextData=(sc.AlertsClip)" TargetMode="External"/><Relationship Id="rId18" Type="http://schemas.openxmlformats.org/officeDocument/2006/relationships/hyperlink" Target="http://www.westlaw.com/Link/Document/FullText?findType=Y&amp;serNum=2034615221&amp;pubNum=0004644&amp;originatingDoc=Ife9112b0eccd11e6b79af578703ae98c&amp;refType=RP&amp;fi=co_pp_sp_4644_732&amp;originationContext=document&amp;vr=3.0&amp;rs=cblt1.0&amp;transitionType=DocumentItem&amp;contextData=(sc.AlertsClip)" TargetMode="External"/><Relationship Id="rId26" Type="http://schemas.openxmlformats.org/officeDocument/2006/relationships/hyperlink" Target="http://www.westlaw.com/Link/Document/FullText?findType=Y&amp;serNum=1990166884&amp;pubNum=0000713&amp;originatingDoc=Ife9112b0eccd11e6b79af578703ae98c&amp;refType=RP&amp;fi=co_pp_sp_713_543&amp;originationContext=document&amp;vr=3.0&amp;rs=cblt1.0&amp;transitionType=DocumentItem&amp;contextData=(sc.AlertsClip)" TargetMode="External"/><Relationship Id="rId39" Type="http://schemas.openxmlformats.org/officeDocument/2006/relationships/hyperlink" Target="http://www.westlaw.com/Link/Document/FullText?findType=Y&amp;serNum=1999091082&amp;pubNum=0000713&amp;originatingDoc=Ife9112b0eccd11e6b79af578703ae98c&amp;refType=RP&amp;fi=co_pp_sp_713_287&amp;originationContext=document&amp;vr=3.0&amp;rs=cblt1.0&amp;transitionType=DocumentItem&amp;contextData=(sc.AlertsClip)" TargetMode="External"/><Relationship Id="rId21" Type="http://schemas.openxmlformats.org/officeDocument/2006/relationships/hyperlink" Target="http://www.westlaw.com/Link/Document/FullText?findType=Y&amp;serNum=2034615221&amp;pubNum=0004644&amp;originatingDoc=Ife9112b0eccd11e6b79af578703ae98c&amp;refType=RP&amp;fi=co_pp_sp_4644_732&amp;originationContext=document&amp;vr=3.0&amp;rs=cblt1.0&amp;transitionType=DocumentItem&amp;contextData=(sc.AlertsClip)" TargetMode="External"/><Relationship Id="rId34" Type="http://schemas.openxmlformats.org/officeDocument/2006/relationships/hyperlink" Target="http://www.westlaw.com/Link/Document/FullText?findType=Y&amp;serNum=1997195044&amp;pubNum=0000713&amp;originatingDoc=Ife9112b0eccd11e6b79af578703ae98c&amp;refType=RP&amp;fi=co_pp_sp_713_271&amp;originationContext=document&amp;vr=3.0&amp;rs=cblt1.0&amp;transitionType=DocumentItem&amp;contextData=(sc.AlertsClip)" TargetMode="External"/><Relationship Id="rId42" Type="http://schemas.openxmlformats.org/officeDocument/2006/relationships/hyperlink" Target="http://www.westlaw.com/Link/Document/FullText?findType=Y&amp;serNum=2002052421&amp;pubNum=0004644&amp;originatingDoc=Ife9112b0eccd11e6b79af578703ae98c&amp;refType=RP&amp;fi=co_pp_sp_4644_535&amp;originationContext=document&amp;vr=3.0&amp;rs=cblt1.0&amp;transitionType=DocumentItem&amp;contextData=(sc.AlertsClip)" TargetMode="External"/><Relationship Id="rId47" Type="http://schemas.openxmlformats.org/officeDocument/2006/relationships/hyperlink" Target="http://www.westlaw.com/Link/Document/FullText?findType=Y&amp;serNum=2018560504&amp;pubNum=0004644&amp;originatingDoc=Ife9112b0eccd11e6b79af578703ae98c&amp;refType=RP&amp;fi=co_pp_sp_4644_568&amp;originationContext=document&amp;vr=3.0&amp;rs=cblt1.0&amp;transitionType=DocumentItem&amp;contextData=(sc.AlertsClip)" TargetMode="External"/><Relationship Id="rId50" Type="http://schemas.openxmlformats.org/officeDocument/2006/relationships/hyperlink" Target="http://www.westlaw.com/Link/Document/FullText?findType=Y&amp;serNum=2010949525&amp;pubNum=0004644&amp;originatingDoc=Ife9112b0eccd11e6b79af578703ae98c&amp;refType=RP&amp;fi=co_pp_sp_4644_641&amp;originationContext=document&amp;vr=3.0&amp;rs=cblt1.0&amp;transitionType=DocumentItem&amp;contextData=(sc.AlertsClip)" TargetMode="External"/><Relationship Id="rId55" Type="http://schemas.openxmlformats.org/officeDocument/2006/relationships/hyperlink" Target="http://www.westlaw.com/Link/Document/FullText?findType=L&amp;pubNum=1000172&amp;cite=TXCMART37.07&amp;originatingDoc=Ife9112b0eccd11e6b79af578703ae98c&amp;refType=LQ&amp;originationContext=document&amp;vr=3.0&amp;rs=cblt1.0&amp;transitionType=DocumentItem&amp;contextData=(sc.AlertsClip)" TargetMode="External"/><Relationship Id="rId63" Type="http://schemas.openxmlformats.org/officeDocument/2006/relationships/fontTable" Target="fontTable.xml"/><Relationship Id="rId7" Type="http://schemas.openxmlformats.org/officeDocument/2006/relationships/hyperlink" Target="http://www.westlaw.com/Link/Document/FullText?findType=h&amp;pubNum=176284&amp;cite=0333692201&amp;originatingDoc=Ife9112b0eccd11e6b79af578703ae98c&amp;refType=RQ&amp;originationContext=document&amp;vr=3.0&amp;rs=cblt1.0&amp;transitionType=DocumentItem&amp;contextData=(sc.AlertsClip)" TargetMode="External"/><Relationship Id="rId2" Type="http://schemas.microsoft.com/office/2007/relationships/stylesWithEffects" Target="stylesWithEffects.xml"/><Relationship Id="rId16" Type="http://schemas.openxmlformats.org/officeDocument/2006/relationships/hyperlink" Target="http://www.westlaw.com/Link/Document/FullText?findType=L&amp;pubNum=1000182&amp;cite=TXPES22.021&amp;originatingDoc=Ife9112b0eccd11e6b79af578703ae98c&amp;refType=LQ&amp;originationContext=document&amp;vr=3.0&amp;rs=cblt1.0&amp;transitionType=DocumentItem&amp;contextData=(sc.AlertsClip)" TargetMode="External"/><Relationship Id="rId20" Type="http://schemas.openxmlformats.org/officeDocument/2006/relationships/hyperlink" Target="http://www.westlaw.com/Link/Document/FullText?findType=Y&amp;serNum=2026277265&amp;pubNum=0004644&amp;originatingDoc=Ife9112b0eccd11e6b79af578703ae98c&amp;refType=RP&amp;fi=co_pp_sp_4644_435&amp;originationContext=document&amp;vr=3.0&amp;rs=cblt1.0&amp;transitionType=DocumentItem&amp;contextData=(sc.AlertsClip)" TargetMode="External"/><Relationship Id="rId29" Type="http://schemas.openxmlformats.org/officeDocument/2006/relationships/hyperlink" Target="http://www.westlaw.com/Link/Document/FullText?findType=L&amp;pubNum=1003819&amp;cite=TXRREVR801&amp;originatingDoc=Ife9112b0eccd11e6b79af578703ae98c&amp;refType=LQ&amp;originationContext=document&amp;vr=3.0&amp;rs=cblt1.0&amp;transitionType=DocumentItem&amp;contextData=(sc.AlertsClip)" TargetMode="External"/><Relationship Id="rId41" Type="http://schemas.openxmlformats.org/officeDocument/2006/relationships/hyperlink" Target="http://www.westlaw.com/Link/Document/FullText?findType=Y&amp;serNum=2017279785&amp;pubNum=0004644&amp;originatingDoc=Ife9112b0eccd11e6b79af578703ae98c&amp;refType=RP&amp;fi=co_pp_sp_4644_172&amp;originationContext=document&amp;vr=3.0&amp;rs=cblt1.0&amp;transitionType=DocumentItem&amp;contextData=(sc.AlertsClip)" TargetMode="External"/><Relationship Id="rId54" Type="http://schemas.openxmlformats.org/officeDocument/2006/relationships/hyperlink" Target="http://www.westlaw.com/Link/Document/FullText?findType=Y&amp;serNum=1997077160&amp;pubNum=0004031&amp;originatingDoc=Ife9112b0eccd11e6b79af578703ae98c&amp;refType=RP&amp;originationContext=document&amp;vr=3.0&amp;rs=cblt1.0&amp;transitionType=DocumentItem&amp;contextData=(sc.AlertsClip)" TargetMode="External"/><Relationship Id="rId62" Type="http://schemas.openxmlformats.org/officeDocument/2006/relationships/hyperlink" Target="http://www.westlaw.com/Link/Document/FullText?findType=L&amp;pubNum=1000172&amp;cite=TXCMART37.07&amp;originatingDoc=Ife9112b0eccd11e6b79af578703ae98c&amp;refType=LQ&amp;originationContext=document&amp;vr=3.0&amp;rs=cblt1.0&amp;transitionType=DocumentItem&amp;contextData=(sc.AlertsClip)" TargetMode="External"/><Relationship Id="rId1" Type="http://schemas.openxmlformats.org/officeDocument/2006/relationships/styles" Target="styles.xml"/><Relationship Id="rId6" Type="http://schemas.openxmlformats.org/officeDocument/2006/relationships/hyperlink" Target="http://www.westlaw.com/Link/Document/FullText?findType=h&amp;pubNum=176284&amp;cite=0161341601&amp;originatingDoc=Ife9112b0eccd11e6b79af578703ae98c&amp;refType=RQ&amp;originationContext=document&amp;vr=3.0&amp;rs=cblt1.0&amp;transitionType=DocumentItem&amp;contextData=(sc.AlertsClip)" TargetMode="External"/><Relationship Id="rId11" Type="http://schemas.openxmlformats.org/officeDocument/2006/relationships/hyperlink" Target="http://www.westlaw.com/Link/Document/FullText?entityType=injury&amp;entityId=Ic981bf51475411db9765f9243f53508a&amp;originationContext=document&amp;transitionType=DocumentItem&amp;contextData=(sc.Default)&amp;vr=3.0&amp;rs=cblt1.0" TargetMode="External"/><Relationship Id="rId24" Type="http://schemas.openxmlformats.org/officeDocument/2006/relationships/hyperlink" Target="http://www.westlaw.com/Link/Document/FullText?findType=Y&amp;serNum=2018120601&amp;pubNum=0004644&amp;originatingDoc=Ife9112b0eccd11e6b79af578703ae98c&amp;refType=RP&amp;fi=co_pp_sp_4644_39&amp;originationContext=document&amp;vr=3.0&amp;rs=cblt1.0&amp;transitionType=DocumentItem&amp;contextData=(sc.AlertsClip)" TargetMode="External"/><Relationship Id="rId32" Type="http://schemas.openxmlformats.org/officeDocument/2006/relationships/hyperlink" Target="http://www.westlaw.com/Link/Document/FullText?findType=Y&amp;serNum=2014736548&amp;pubNum=0004644&amp;originatingDoc=Ife9112b0eccd11e6b79af578703ae98c&amp;refType=RP&amp;fi=co_pp_sp_4644_376&amp;originationContext=document&amp;vr=3.0&amp;rs=cblt1.0&amp;transitionType=DocumentItem&amp;contextData=(sc.AlertsClip)" TargetMode="External"/><Relationship Id="rId37" Type="http://schemas.openxmlformats.org/officeDocument/2006/relationships/hyperlink" Target="http://www.westlaw.com/Link/Document/FullText?findType=Y&amp;serNum=1991099701&amp;pubNum=0000713&amp;originatingDoc=Ife9112b0eccd11e6b79af578703ae98c&amp;refType=RP&amp;fi=co_pp_sp_713_88&amp;originationContext=document&amp;vr=3.0&amp;rs=cblt1.0&amp;transitionType=DocumentItem&amp;contextData=(sc.AlertsClip)" TargetMode="External"/><Relationship Id="rId40" Type="http://schemas.openxmlformats.org/officeDocument/2006/relationships/hyperlink" Target="http://www.westlaw.com/Link/Document/FullText?findType=Y&amp;serNum=2019190155&amp;pubNum=0004644&amp;originatingDoc=Ife9112b0eccd11e6b79af578703ae98c&amp;refType=RP&amp;fi=co_pp_sp_4644_28&amp;originationContext=document&amp;vr=3.0&amp;rs=cblt1.0&amp;transitionType=DocumentItem&amp;contextData=(sc.AlertsClip)" TargetMode="External"/><Relationship Id="rId45" Type="http://schemas.openxmlformats.org/officeDocument/2006/relationships/hyperlink" Target="http://www.westlaw.com/Link/Document/FullText?findType=Y&amp;serNum=2037971900&amp;pubNum=0004644&amp;originatingDoc=Ife9112b0eccd11e6b79af578703ae98c&amp;refType=RP&amp;fi=co_pp_sp_4644_217&amp;originationContext=document&amp;vr=3.0&amp;rs=cblt1.0&amp;transitionType=DocumentItem&amp;contextData=(sc.AlertsClip)" TargetMode="External"/><Relationship Id="rId53" Type="http://schemas.openxmlformats.org/officeDocument/2006/relationships/hyperlink" Target="http://www.westlaw.com/Link/Document/FullText?findType=Y&amp;serNum=1989090138&amp;pubNum=0000713&amp;originatingDoc=Ife9112b0eccd11e6b79af578703ae98c&amp;refType=RP&amp;fi=co_pp_sp_713_281&amp;originationContext=document&amp;vr=3.0&amp;rs=cblt1.0&amp;transitionType=DocumentItem&amp;contextData=(sc.AlertsClip)" TargetMode="External"/><Relationship Id="rId58" Type="http://schemas.openxmlformats.org/officeDocument/2006/relationships/hyperlink" Target="http://www.westlaw.com/Link/Document/FullText?findType=Y&amp;serNum=2002383787&amp;pubNum=0004644&amp;originatingDoc=Ife9112b0eccd11e6b79af578703ae98c&amp;refType=RP&amp;fi=co_pp_sp_4644_281&amp;originationContext=document&amp;vr=3.0&amp;rs=cblt1.0&amp;transitionType=DocumentItem&amp;contextData=(sc.AlertsClip)" TargetMode="External"/><Relationship Id="rId5" Type="http://schemas.openxmlformats.org/officeDocument/2006/relationships/hyperlink" Target="http://www.westlaw.com/Search/Results.html?query=advanced%3a+OAID(5023959604)&amp;saveJuris=False&amp;contentType=BUSINESS-INVESTIGATOR&amp;startIndex=1&amp;contextData=(sc.Default)&amp;categoryPageUrl=Home%2fCompanyInvestigator&amp;originationContext=document&amp;vr=3.0&amp;rs=cblt1.0&amp;transitionType=DocumentItem" TargetMode="External"/><Relationship Id="rId15" Type="http://schemas.openxmlformats.org/officeDocument/2006/relationships/hyperlink" Target="http://www.westlaw.com/Link/Document/FullText?findType=L&amp;pubNum=1000172&amp;cite=TXCMART37.07&amp;originatingDoc=Ife9112b0eccd11e6b79af578703ae98c&amp;refType=LQ&amp;originationContext=document&amp;vr=3.0&amp;rs=cblt1.0&amp;transitionType=DocumentItem&amp;contextData=(sc.AlertsClip)" TargetMode="External"/><Relationship Id="rId23" Type="http://schemas.openxmlformats.org/officeDocument/2006/relationships/hyperlink" Target="http://www.westlaw.com/Link/Document/FullText?findType=Y&amp;serNum=1990085930&amp;pubNum=0000713&amp;originatingDoc=Ife9112b0eccd11e6b79af578703ae98c&amp;refType=RP&amp;fi=co_pp_sp_713_391&amp;originationContext=document&amp;vr=3.0&amp;rs=cblt1.0&amp;transitionType=DocumentItem&amp;contextData=(sc.AlertsClip)" TargetMode="External"/><Relationship Id="rId28" Type="http://schemas.openxmlformats.org/officeDocument/2006/relationships/hyperlink" Target="http://www.westlaw.com/Link/Document/FullText?findType=L&amp;pubNum=1003819&amp;cite=TXRREVR803&amp;originatingDoc=Ife9112b0eccd11e6b79af578703ae98c&amp;refType=LQ&amp;originationContext=document&amp;vr=3.0&amp;rs=cblt1.0&amp;transitionType=DocumentItem&amp;contextData=(sc.AlertsClip)" TargetMode="External"/><Relationship Id="rId36" Type="http://schemas.openxmlformats.org/officeDocument/2006/relationships/hyperlink" Target="http://www.westlaw.com/Link/Document/FullText?findType=Y&amp;serNum=1998087985&amp;pubNum=0000713&amp;originatingDoc=Ife9112b0eccd11e6b79af578703ae98c&amp;refType=RP&amp;fi=co_pp_sp_713_417&amp;originationContext=document&amp;vr=3.0&amp;rs=cblt1.0&amp;transitionType=DocumentItem&amp;contextData=(sc.AlertsClip)" TargetMode="External"/><Relationship Id="rId49" Type="http://schemas.openxmlformats.org/officeDocument/2006/relationships/hyperlink" Target="http://www.westlaw.com/Link/Document/FullText?findType=Y&amp;serNum=1992041295&amp;pubNum=0000713&amp;originatingDoc=Ife9112b0eccd11e6b79af578703ae98c&amp;refType=RP&amp;fi=co_pp_sp_713_708&amp;originationContext=document&amp;vr=3.0&amp;rs=cblt1.0&amp;transitionType=DocumentItem&amp;contextData=(sc.AlertsClip)" TargetMode="External"/><Relationship Id="rId57" Type="http://schemas.openxmlformats.org/officeDocument/2006/relationships/hyperlink" Target="http://www.westlaw.com/Link/Document/FullText?findType=Y&amp;serNum=2002383787&amp;pubNum=0004644&amp;originatingDoc=Ife9112b0eccd11e6b79af578703ae98c&amp;refType=RP&amp;fi=co_pp_sp_4644_281&amp;originationContext=document&amp;vr=3.0&amp;rs=cblt1.0&amp;transitionType=DocumentItem&amp;contextData=(sc.AlertsClip)" TargetMode="External"/><Relationship Id="rId61" Type="http://schemas.openxmlformats.org/officeDocument/2006/relationships/hyperlink" Target="http://www.westlaw.com/Link/Document/FullText?findType=Y&amp;serNum=1997106335&amp;pubNum=0000713&amp;originatingDoc=Ife9112b0eccd11e6b79af578703ae98c&amp;refType=RP&amp;fi=co_pp_sp_713_493&amp;originationContext=document&amp;vr=3.0&amp;rs=cblt1.0&amp;transitionType=DocumentItem&amp;contextData=(sc.AlertsClip)" TargetMode="External"/><Relationship Id="rId10" Type="http://schemas.openxmlformats.org/officeDocument/2006/relationships/hyperlink" Target="http://www.westlaw.com/Link/Document/FullText?entityType=injury&amp;entityId=Ib1d82914475411db9765f9243f53508a&amp;originationContext=document&amp;transitionType=DocumentItem&amp;contextData=(sc.Default)&amp;vr=3.0&amp;rs=cblt1.0" TargetMode="External"/><Relationship Id="rId19" Type="http://schemas.openxmlformats.org/officeDocument/2006/relationships/hyperlink" Target="http://www.westlaw.com/Link/Document/FullText?findType=Y&amp;serNum=2008419780&amp;pubNum=0004644&amp;originatingDoc=Ife9112b0eccd11e6b79af578703ae98c&amp;refType=RP&amp;fi=co_pp_sp_4644_590&amp;originationContext=document&amp;vr=3.0&amp;rs=cblt1.0&amp;transitionType=DocumentItem&amp;contextData=(sc.AlertsClip)" TargetMode="External"/><Relationship Id="rId31" Type="http://schemas.openxmlformats.org/officeDocument/2006/relationships/hyperlink" Target="http://www.westlaw.com/Link/Document/FullText?findType=Y&amp;serNum=2014736548&amp;pubNum=0004644&amp;originatingDoc=Ife9112b0eccd11e6b79af578703ae98c&amp;refType=RP&amp;fi=co_pp_sp_4644_384&amp;originationContext=document&amp;vr=3.0&amp;rs=cblt1.0&amp;transitionType=DocumentItem&amp;contextData=(sc.AlertsClip)" TargetMode="External"/><Relationship Id="rId44" Type="http://schemas.openxmlformats.org/officeDocument/2006/relationships/hyperlink" Target="http://www.westlaw.com/Link/Document/FullText?findType=L&amp;pubNum=1003819&amp;cite=TXRREVR403&amp;originatingDoc=Ife9112b0eccd11e6b79af578703ae98c&amp;refType=LQ&amp;originationContext=document&amp;vr=3.0&amp;rs=cblt1.0&amp;transitionType=DocumentItem&amp;contextData=(sc.AlertsClip)" TargetMode="External"/><Relationship Id="rId52" Type="http://schemas.openxmlformats.org/officeDocument/2006/relationships/hyperlink" Target="http://www.westlaw.com/Link/Document/FullText?findType=Y&amp;serNum=2022715313&amp;pubNum=0004644&amp;originatingDoc=Ife9112b0eccd11e6b79af578703ae98c&amp;refType=RP&amp;fi=co_pp_sp_4644_43&amp;originationContext=document&amp;vr=3.0&amp;rs=cblt1.0&amp;transitionType=DocumentItem&amp;contextData=(sc.AlertsClip)" TargetMode="External"/><Relationship Id="rId60" Type="http://schemas.openxmlformats.org/officeDocument/2006/relationships/hyperlink" Target="http://www.westlaw.com/Link/Document/FullText?findType=L&amp;pubNum=1005293&amp;cite=TXRRAPR44.2&amp;originatingDoc=Ife9112b0eccd11e6b79af578703ae98c&amp;refType=LQ&amp;originationContext=document&amp;vr=3.0&amp;rs=cblt1.0&amp;transitionType=DocumentItem&amp;contextData=(sc.AlertsClip)" TargetMode="External"/><Relationship Id="rId4" Type="http://schemas.openxmlformats.org/officeDocument/2006/relationships/webSettings" Target="webSettings.xml"/><Relationship Id="rId9" Type="http://schemas.openxmlformats.org/officeDocument/2006/relationships/hyperlink" Target="http://www.westlaw.com/Link/Document/FullText?findType=h&amp;pubNum=176284&amp;cite=0333692201&amp;originatingDoc=Ife9112b0eccd11e6b79af578703ae98c&amp;refType=RQ&amp;originationContext=document&amp;vr=3.0&amp;rs=cblt1.0&amp;transitionType=DocumentItem&amp;contextData=(sc.AlertsClip)" TargetMode="External"/><Relationship Id="rId14" Type="http://schemas.openxmlformats.org/officeDocument/2006/relationships/hyperlink" Target="http://www.westlaw.com/Link/Document/FullText?findType=L&amp;pubNum=1000172&amp;cite=TXCMART37.07&amp;originatingDoc=Ife9112b0eccd11e6b79af578703ae98c&amp;refType=LQ&amp;originationContext=document&amp;vr=3.0&amp;rs=cblt1.0&amp;transitionType=DocumentItem&amp;contextData=(sc.AlertsClip)" TargetMode="External"/><Relationship Id="rId22" Type="http://schemas.openxmlformats.org/officeDocument/2006/relationships/hyperlink" Target="http://www.westlaw.com/Link/Document/FullText?findType=Y&amp;serNum=2008419780&amp;pubNum=0004644&amp;originatingDoc=Ife9112b0eccd11e6b79af578703ae98c&amp;refType=RP&amp;fi=co_pp_sp_4644_590&amp;originationContext=document&amp;vr=3.0&amp;rs=cblt1.0&amp;transitionType=DocumentItem&amp;contextData=(sc.AlertsClip)" TargetMode="External"/><Relationship Id="rId27" Type="http://schemas.openxmlformats.org/officeDocument/2006/relationships/hyperlink" Target="http://www.westlaw.com/Link/Document/FullText?findType=Y&amp;serNum=2021956378&amp;pubNum=0004644&amp;originatingDoc=Ife9112b0eccd11e6b79af578703ae98c&amp;refType=RP&amp;fi=co_pp_sp_4644_448&amp;originationContext=document&amp;vr=3.0&amp;rs=cblt1.0&amp;transitionType=DocumentItem&amp;contextData=(sc.AlertsClip)" TargetMode="External"/><Relationship Id="rId30" Type="http://schemas.openxmlformats.org/officeDocument/2006/relationships/hyperlink" Target="http://www.westlaw.com/Link/Document/FullText?findType=L&amp;pubNum=1003819&amp;cite=TXRREVR803&amp;originatingDoc=Ife9112b0eccd11e6b79af578703ae98c&amp;refType=LQ&amp;originationContext=document&amp;vr=3.0&amp;rs=cblt1.0&amp;transitionType=DocumentItem&amp;contextData=(sc.AlertsClip)" TargetMode="External"/><Relationship Id="rId35" Type="http://schemas.openxmlformats.org/officeDocument/2006/relationships/hyperlink" Target="http://www.westlaw.com/Link/Document/FullText?findType=Y&amp;serNum=1946114131&amp;pubNum=0000780&amp;originatingDoc=Ife9112b0eccd11e6b79af578703ae98c&amp;refType=RP&amp;fi=co_pp_sp_780_776&amp;originationContext=document&amp;vr=3.0&amp;rs=cblt1.0&amp;transitionType=DocumentItem&amp;contextData=(sc.AlertsClip)" TargetMode="External"/><Relationship Id="rId43" Type="http://schemas.openxmlformats.org/officeDocument/2006/relationships/hyperlink" Target="http://www.westlaw.com/Link/Document/FullText?findType=Y&amp;serNum=2000390095&amp;pubNum=0004644&amp;originatingDoc=Ife9112b0eccd11e6b79af578703ae98c&amp;refType=RP&amp;fi=co_pp_sp_4644_912&amp;originationContext=document&amp;vr=3.0&amp;rs=cblt1.0&amp;transitionType=DocumentItem&amp;contextData=(sc.AlertsClip)" TargetMode="External"/><Relationship Id="rId48" Type="http://schemas.openxmlformats.org/officeDocument/2006/relationships/hyperlink" Target="http://www.westlaw.com/Link/Document/FullText?findType=Y&amp;serNum=2001780684&amp;pubNum=0004644&amp;originatingDoc=Ife9112b0eccd11e6b79af578703ae98c&amp;refType=RP&amp;fi=co_pp_sp_4644_202&amp;originationContext=document&amp;vr=3.0&amp;rs=cblt1.0&amp;transitionType=DocumentItem&amp;contextData=(sc.AlertsClip)" TargetMode="External"/><Relationship Id="rId56" Type="http://schemas.openxmlformats.org/officeDocument/2006/relationships/hyperlink" Target="http://www.westlaw.com/Link/Document/FullText?findType=Y&amp;serNum=2022264193&amp;pubNum=0004644&amp;originatingDoc=Ife9112b0eccd11e6b79af578703ae98c&amp;refType=RP&amp;fi=co_pp_sp_4644_38&amp;originationContext=document&amp;vr=3.0&amp;rs=cblt1.0&amp;transitionType=DocumentItem&amp;contextData=(sc.AlertsClip)" TargetMode="External"/><Relationship Id="rId64" Type="http://schemas.openxmlformats.org/officeDocument/2006/relationships/theme" Target="theme/theme1.xml"/><Relationship Id="rId8" Type="http://schemas.openxmlformats.org/officeDocument/2006/relationships/hyperlink" Target="http://www.westlaw.com/Link/Document/FullText?findType=h&amp;pubNum=176284&amp;cite=0487832601&amp;originatingDoc=Ife9112b0eccd11e6b79af578703ae98c&amp;refType=RQ&amp;originationContext=document&amp;vr=3.0&amp;rs=cblt1.0&amp;transitionType=DocumentItem&amp;contextData=(sc.AlertsClip)" TargetMode="External"/><Relationship Id="rId51" Type="http://schemas.openxmlformats.org/officeDocument/2006/relationships/hyperlink" Target="http://www.westlaw.com/Link/Document/FullText?findType=L&amp;pubNum=1000182&amp;cite=TXPES22.021&amp;originatingDoc=Ife9112b0eccd11e6b79af578703ae98c&amp;refType=SP&amp;originationContext=document&amp;vr=3.0&amp;rs=cblt1.0&amp;transitionType=DocumentItem&amp;contextData=(sc.AlertsClip)" TargetMode="External"/><Relationship Id="rId3" Type="http://schemas.openxmlformats.org/officeDocument/2006/relationships/settings" Target="settings.xml"/><Relationship Id="rId12" Type="http://schemas.openxmlformats.org/officeDocument/2006/relationships/hyperlink" Target="http://www.westlaw.com/Link/Document/FullText?findType=L&amp;pubNum=1000172&amp;cite=TXCMART37.07&amp;originatingDoc=Ife9112b0eccd11e6b79af578703ae98c&amp;refType=LQ&amp;originationContext=document&amp;vr=3.0&amp;rs=cblt1.0&amp;transitionType=DocumentItem&amp;contextData=(sc.AlertsClip)" TargetMode="External"/><Relationship Id="rId17" Type="http://schemas.openxmlformats.org/officeDocument/2006/relationships/hyperlink" Target="http://www.westlaw.com/Link/Document/FullText?findType=L&amp;pubNum=1000172&amp;cite=TXCMART37.07&amp;originatingDoc=Ife9112b0eccd11e6b79af578703ae98c&amp;refType=LQ&amp;originationContext=document&amp;vr=3.0&amp;rs=cblt1.0&amp;transitionType=DocumentItem&amp;contextData=(sc.AlertsClip)" TargetMode="External"/><Relationship Id="rId25" Type="http://schemas.openxmlformats.org/officeDocument/2006/relationships/hyperlink" Target="http://www.westlaw.com/Link/Document/FullText?findType=Y&amp;serNum=2008419780&amp;pubNum=0004644&amp;originatingDoc=Ife9112b0eccd11e6b79af578703ae98c&amp;refType=RP&amp;fi=co_pp_sp_4644_590&amp;originationContext=document&amp;vr=3.0&amp;rs=cblt1.0&amp;transitionType=DocumentItem&amp;contextData=(sc.AlertsClip)" TargetMode="External"/><Relationship Id="rId33" Type="http://schemas.openxmlformats.org/officeDocument/2006/relationships/hyperlink" Target="http://www.westlaw.com/Link/Document/FullText?findType=L&amp;pubNum=1005293&amp;cite=TXRRAPR44.2&amp;originatingDoc=Ife9112b0eccd11e6b79af578703ae98c&amp;refType=LQ&amp;originationContext=document&amp;vr=3.0&amp;rs=cblt1.0&amp;transitionType=DocumentItem&amp;contextData=(sc.AlertsClip)" TargetMode="External"/><Relationship Id="rId38" Type="http://schemas.openxmlformats.org/officeDocument/2006/relationships/hyperlink" Target="http://www.westlaw.com/Link/Document/FullText?findType=Y&amp;serNum=1986134349&amp;pubNum=0000713&amp;originatingDoc=Ife9112b0eccd11e6b79af578703ae98c&amp;refType=RP&amp;fi=co_pp_sp_713_628&amp;originationContext=document&amp;vr=3.0&amp;rs=cblt1.0&amp;transitionType=DocumentItem&amp;contextData=(sc.AlertsClip)" TargetMode="External"/><Relationship Id="rId46" Type="http://schemas.openxmlformats.org/officeDocument/2006/relationships/hyperlink" Target="http://www.westlaw.com/Link/Document/FullText?findType=Y&amp;serNum=2031583258&amp;pubNum=0004644&amp;originatingDoc=Ife9112b0eccd11e6b79af578703ae98c&amp;refType=RP&amp;fi=co_pp_sp_4644_811&amp;originationContext=document&amp;vr=3.0&amp;rs=cblt1.0&amp;transitionType=DocumentItem&amp;contextData=(sc.AlertsClip)" TargetMode="External"/><Relationship Id="rId59" Type="http://schemas.openxmlformats.org/officeDocument/2006/relationships/hyperlink" Target="http://www.westlaw.com/Link/Document/FullText?findType=Y&amp;serNum=2002274154&amp;pubNum=0004644&amp;originatingDoc=Ife9112b0eccd11e6b79af578703ae98c&amp;refType=RP&amp;fi=co_pp_sp_4644_925&amp;originationContext=document&amp;vr=3.0&amp;rs=cblt1.0&amp;transitionType=DocumentItem&amp;contextData=(sc.AlertsCl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6331</Words>
  <Characters>36089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42336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Judge Pat</dc:creator>
  <cp:lastModifiedBy>Garza, Judge Pat</cp:lastModifiedBy>
  <cp:revision>3</cp:revision>
  <dcterms:created xsi:type="dcterms:W3CDTF">2017-04-25T17:08:00Z</dcterms:created>
  <dcterms:modified xsi:type="dcterms:W3CDTF">2017-04-26T20:01:00Z</dcterms:modified>
</cp:coreProperties>
</file>